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eastAsia="Calibri"/>
          <w:b/>
          <w:color w:val="000000"/>
          <w:sz w:val="24"/>
          <w:szCs w:val="24"/>
        </w:rPr>
        <w:t xml:space="preserve">Приложение к ценовому предложению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left="360"/>
        <w:rPr>
          <w:rFonts w:ascii="Times New Roman" w:hAnsi="Times New Roman" w:eastAsia="Arial Unicode MS"/>
          <w:b/>
          <w:bCs/>
          <w:color w:val="000000"/>
          <w:sz w:val="20"/>
          <w:szCs w:val="20"/>
        </w:rPr>
      </w:pP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  <w:r>
        <w:rPr>
          <w:rFonts w:ascii="Times New Roman" w:hAnsi="Times New Roman" w:eastAsia="Arial Unicode MS"/>
          <w:b/>
          <w:bCs/>
          <w:color w:val="000000"/>
          <w:sz w:val="20"/>
          <w:szCs w:val="20"/>
        </w:rPr>
      </w:r>
      <w:r>
        <w:rPr>
          <w:rFonts w:ascii="Times New Roman" w:hAnsi="Times New Roman" w:eastAsia="Arial Unicode MS"/>
          <w:b/>
          <w:bCs/>
          <w:color w:val="000000"/>
          <w:sz w:val="20"/>
          <w:szCs w:val="20"/>
        </w:rPr>
      </w:r>
    </w:p>
    <w:tbl>
      <w:tblPr>
        <w:tblStyle w:val="722"/>
        <w:tblpPr w:horzAnchor="text" w:tblpX="-5" w:vertAnchor="text" w:tblpY="139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902"/>
        <w:gridCol w:w="1961"/>
        <w:gridCol w:w="5280"/>
        <w:gridCol w:w="1144"/>
        <w:gridCol w:w="1237"/>
      </w:tblGrid>
      <w:tr>
        <w:tblPrEx/>
        <w:trPr>
          <w:trHeight w:val="459"/>
        </w:trPr>
        <w:tc>
          <w:tcPr>
            <w:tcW w:w="902" w:type="dxa"/>
            <w:vAlign w:val="center"/>
            <w:textDirection w:val="lrTb"/>
            <w:noWrap w:val="false"/>
          </w:tcPr>
          <w:p>
            <w:pPr>
              <w:pStyle w:val="894"/>
              <w:ind w:firstLine="0"/>
              <w:jc w:val="both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№п/п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61" w:type="dxa"/>
            <w:vAlign w:val="center"/>
            <w:textDirection w:val="lrTb"/>
            <w:noWrap w:val="false"/>
          </w:tcPr>
          <w:p>
            <w:pPr>
              <w:pStyle w:val="894"/>
              <w:ind w:firstLine="0"/>
              <w:jc w:val="both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Каталожный номер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80" w:type="dxa"/>
            <w:vAlign w:val="center"/>
            <w:textDirection w:val="lrTb"/>
            <w:noWrap w:val="false"/>
          </w:tcPr>
          <w:p>
            <w:pPr>
              <w:pStyle w:val="894"/>
              <w:ind w:firstLine="0"/>
              <w:jc w:val="both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Наименование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44" w:type="dxa"/>
            <w:vAlign w:val="center"/>
            <w:textDirection w:val="lrTb"/>
            <w:noWrap w:val="false"/>
          </w:tcPr>
          <w:p>
            <w:pPr>
              <w:pStyle w:val="894"/>
              <w:ind w:firstLine="0"/>
              <w:jc w:val="both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Ед.изм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37" w:type="dxa"/>
            <w:vAlign w:val="center"/>
            <w:textDirection w:val="lrTb"/>
            <w:noWrap w:val="false"/>
          </w:tcPr>
          <w:p>
            <w:pPr>
              <w:pStyle w:val="894"/>
              <w:ind w:firstLine="0"/>
              <w:jc w:val="both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Кол-во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08"/>
        </w:trPr>
        <w:tc>
          <w:tcPr>
            <w:tcW w:w="902" w:type="dxa"/>
            <w:vAlign w:val="center"/>
            <w:textDirection w:val="lrTb"/>
            <w:noWrap w:val="false"/>
          </w:tcPr>
          <w:p>
            <w:pPr>
              <w:pStyle w:val="894"/>
              <w:ind w:firstLine="0"/>
              <w:jc w:val="both"/>
              <w:rPr>
                <w:rFonts w:eastAsiaTheme="minorHAns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1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</w:rPr>
            </w:r>
            <w:r>
              <w:rPr>
                <w:rFonts w:eastAsiaTheme="minorHAnsi"/>
                <w:b w:val="0"/>
                <w:bCs w:val="0"/>
                <w:color w:val="000000"/>
                <w:sz w:val="24"/>
              </w:rPr>
            </w:r>
          </w:p>
        </w:tc>
        <w:tc>
          <w:tcPr>
            <w:tcW w:w="1961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Theme="minorHAnsi"/>
                <w:b w:val="0"/>
                <w:bCs w:val="0"/>
                <w:color w:val="000000"/>
                <w:sz w:val="24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r>
            <w:r>
              <w:rPr>
                <w:rFonts w:ascii="Times New Roman" w:hAnsi="Times New Roman" w:eastAsiaTheme="minorHAnsi"/>
                <w:b w:val="0"/>
                <w:bCs w:val="0"/>
                <w:color w:val="000000"/>
                <w:sz w:val="24"/>
                <w14:ligatures w14:val="none"/>
              </w:rPr>
            </w:r>
            <w:r>
              <w:rPr>
                <w:rFonts w:ascii="Times New Roman" w:hAnsi="Times New Roman" w:eastAsiaTheme="minorHAnsi"/>
                <w:b w:val="0"/>
                <w:bCs w:val="0"/>
                <w:color w:val="000000"/>
                <w:sz w:val="24"/>
                <w14:ligatures w14:val="none"/>
              </w:rPr>
            </w:r>
          </w:p>
        </w:tc>
        <w:tc>
          <w:tcPr>
            <w:tcW w:w="528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40" w:after="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6"/>
                <w:highlight w:val="white"/>
              </w:rPr>
            </w:r>
            <w:r>
              <w:rPr>
                <w:rFonts w:ascii="Arial" w:hAnsi="Arial" w:eastAsia="Arial" w:cs="Arial"/>
                <w:b/>
                <w:bCs/>
                <w:color w:val="000000"/>
                <w:sz w:val="16"/>
                <w:highlight w:val="white"/>
                <w:u w:val="single"/>
              </w:rPr>
              <w:t xml:space="preserve">ALK-8009F</w:t>
            </w:r>
            <w:r>
              <w:rPr>
                <w:rFonts w:ascii="Arial" w:hAnsi="Arial" w:eastAsia="Arial" w:cs="Arial"/>
                <w:color w:val="000000"/>
                <w:sz w:val="16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Набор инструмента Licota 1/4" и 1/2" 6 гр. 143пр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z w:val="16"/>
                <w:highlight w:val="white"/>
              </w:rPr>
              <w:t xml:space="preserve">﻿</w:t>
            </w:r>
            <w:r/>
            <w:r/>
          </w:p>
        </w:tc>
        <w:tc>
          <w:tcPr>
            <w:tcW w:w="1144" w:type="dxa"/>
            <w:vAlign w:val="center"/>
            <w:textDirection w:val="lrTb"/>
            <w:noWrap w:val="false"/>
          </w:tcPr>
          <w:p>
            <w:pPr>
              <w:pStyle w:val="894"/>
              <w:ind w:firstLine="0"/>
              <w:jc w:val="both"/>
              <w:rPr>
                <w:rFonts w:eastAsiaTheme="minorHAns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шт.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</w:rPr>
            </w:r>
            <w:r>
              <w:rPr>
                <w:rFonts w:eastAsiaTheme="minorHAnsi"/>
                <w:b w:val="0"/>
                <w:bCs w:val="0"/>
                <w:color w:val="000000"/>
                <w:sz w:val="24"/>
              </w:rPr>
            </w:r>
          </w:p>
        </w:tc>
        <w:tc>
          <w:tcPr>
            <w:tcW w:w="1237" w:type="dxa"/>
            <w:vAlign w:val="center"/>
            <w:textDirection w:val="lrTb"/>
            <w:noWrap w:val="false"/>
          </w:tcPr>
          <w:p>
            <w:pPr>
              <w:pStyle w:val="894"/>
              <w:ind w:firstLine="0"/>
              <w:jc w:val="both"/>
              <w:rPr>
                <w:rFonts w:eastAsiaTheme="minorHAns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1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</w:rPr>
            </w:r>
            <w:r>
              <w:rPr>
                <w:rFonts w:eastAsiaTheme="minorHAnsi"/>
                <w:b w:val="0"/>
                <w:bCs w:val="0"/>
                <w:color w:val="000000"/>
                <w:sz w:val="24"/>
              </w:rPr>
            </w:r>
          </w:p>
        </w:tc>
      </w:tr>
    </w:tbl>
    <w:p>
      <w:pPr>
        <w:ind w:left="360"/>
        <w:rPr>
          <w:rFonts w:ascii="Times New Roman" w:hAnsi="Times New Roman" w:eastAsia="Arial Unicode MS"/>
          <w:b/>
          <w:bCs/>
          <w:color w:val="000000"/>
          <w:sz w:val="20"/>
          <w:szCs w:val="20"/>
        </w:rPr>
      </w:pPr>
      <w:r>
        <w:rPr>
          <w:rFonts w:ascii="Times New Roman" w:hAnsi="Times New Roman" w:eastAsia="Arial Unicode MS"/>
          <w:b/>
          <w:bCs/>
          <w:color w:val="000000"/>
          <w:sz w:val="20"/>
          <w:szCs w:val="20"/>
        </w:rPr>
      </w:r>
      <w:r>
        <w:rPr>
          <w:rFonts w:ascii="Times New Roman" w:hAnsi="Times New Roman" w:eastAsia="Arial Unicode MS"/>
          <w:b/>
          <w:bCs/>
          <w:color w:val="000000"/>
          <w:sz w:val="20"/>
          <w:szCs w:val="20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02"/>
        <w:gridCol w:w="7090"/>
      </w:tblGrid>
      <w:tr>
        <w:tblPrEx/>
        <w:trPr/>
        <w:tc>
          <w:tcPr>
            <w:shd w:val="clear" w:color="ffffff" w:fill="bfbfbf"/>
            <w:tcW w:w="56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ffffff" w:fill="bfbfbf"/>
            <w:tcW w:w="8792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Общие сведения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56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2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Состояние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90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56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702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Описание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7090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83"/>
        </w:trPr>
        <w:tc>
          <w:tcPr>
            <w:tcW w:w="56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40" w:after="40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Тип инструмента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W w:w="709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40" w:after="40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412"/>
        </w:trPr>
        <w:tc>
          <w:tcPr>
            <w:shd w:val="clear" w:color="ffffff" w:fill="bfbfbf"/>
            <w:tcW w:w="56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ffffff" w:fill="bfbfbf"/>
            <w:tcW w:w="8792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Технические характеристики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56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40" w:after="40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2.1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W w:w="170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40" w:after="40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Кол-во предметов в наборе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W w:w="709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40" w:after="40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20"/>
        </w:trPr>
        <w:tc>
          <w:tcPr>
            <w:tcW w:w="566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40" w:after="40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Комплектация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W w:w="7090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</w:r>
            <w:r/>
            <w:r>
              <w:rPr>
                <w:highlight w:val="none"/>
              </w:rPr>
            </w:r>
            <w:r/>
            <w:r/>
            <w:r/>
          </w:p>
        </w:tc>
      </w:tr>
      <w:tr>
        <w:tblPrEx/>
        <w:trPr>
          <w:trHeight w:val="271"/>
        </w:trPr>
        <w:tc>
          <w:tcPr>
            <w:tcW w:w="5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702" w:type="dxa"/>
            <w:vAlign w:val="center"/>
            <w:vMerge w:val="restart"/>
            <w:textDirection w:val="lrTb"/>
            <w:noWrap w:val="false"/>
          </w:tcPr>
          <w:p>
            <w:r>
              <w:t xml:space="preserve">Фото</w:t>
            </w:r>
            <w:r/>
            <w:r/>
          </w:p>
        </w:tc>
        <w:tc>
          <w:tcPr>
            <w:shd w:val="clear" w:color="ffffff" w:fill="ffffff"/>
            <w:tcW w:w="7090" w:type="dxa"/>
            <w:vAlign w:val="center"/>
            <w:vMerge w:val="restart"/>
            <w:textDirection w:val="lrTb"/>
            <w:noWrap w:val="false"/>
          </w:tcPr>
          <w:p>
            <w:r/>
            <w:r/>
            <w:r/>
          </w:p>
        </w:tc>
      </w:tr>
    </w:tbl>
    <w:p>
      <w:pPr>
        <w:ind w:left="360"/>
        <w:rPr>
          <w:rFonts w:ascii="Times New Roman" w:hAnsi="Times New Roman" w:eastAsia="Arial Unicode MS"/>
          <w:b/>
          <w:bCs/>
          <w:color w:val="000000"/>
          <w:sz w:val="20"/>
          <w:szCs w:val="20"/>
        </w:rPr>
      </w:pPr>
      <w:r>
        <w:rPr>
          <w:rFonts w:ascii="Times New Roman" w:hAnsi="Times New Roman" w:eastAsia="Arial Unicode MS"/>
          <w:b/>
          <w:bCs/>
          <w:color w:val="000000"/>
          <w:sz w:val="20"/>
          <w:szCs w:val="20"/>
        </w:rPr>
      </w:r>
      <w:r>
        <w:rPr>
          <w:rFonts w:ascii="Times New Roman" w:hAnsi="Times New Roman" w:eastAsia="Arial Unicode MS"/>
          <w:b/>
          <w:bCs/>
          <w:color w:val="000000"/>
          <w:sz w:val="20"/>
          <w:szCs w:val="20"/>
        </w:rPr>
      </w:r>
    </w:p>
    <w:p>
      <w:pPr>
        <w:pStyle w:val="866"/>
        <w:ind w:left="360"/>
        <w:rPr>
          <w:rFonts w:ascii="Times New Roman" w:hAnsi="Times New Roman" w:eastAsia="Arial Unicode MS"/>
          <w:b/>
          <w:color w:val="000000"/>
          <w:sz w:val="20"/>
          <w:szCs w:val="20"/>
        </w:rPr>
      </w:pPr>
      <w:r>
        <w:rPr>
          <w:rFonts w:ascii="Times New Roman" w:hAnsi="Times New Roman" w:eastAsia="Arial Unicode MS"/>
          <w:b/>
          <w:color w:val="000000"/>
          <w:sz w:val="20"/>
          <w:szCs w:val="20"/>
        </w:rPr>
        <w:t xml:space="preserve">"Инструкции по заполнению:</w:t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</w:p>
    <w:p>
      <w:pPr>
        <w:pStyle w:val="866"/>
        <w:ind w:left="360"/>
        <w:rPr>
          <w:rFonts w:ascii="Times New Roman" w:hAnsi="Times New Roman" w:eastAsia="Arial Unicode MS"/>
          <w:b/>
          <w:color w:val="000000"/>
          <w:sz w:val="20"/>
          <w:szCs w:val="20"/>
        </w:rPr>
      </w:pPr>
      <w:r>
        <w:rPr>
          <w:rFonts w:ascii="Times New Roman" w:hAnsi="Times New Roman" w:eastAsia="Arial Unicode MS"/>
          <w:b/>
          <w:color w:val="000000"/>
          <w:sz w:val="20"/>
          <w:szCs w:val="20"/>
        </w:rPr>
        <w:t xml:space="preserve">Техническое предложение должно содержать: конкретные показатели поставляемого товара, соответствующие значениям, установленным в документации о закупке, и указание на това</w:t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  <w:t xml:space="preserve">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 наименование страны происхождения товара. </w:t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</w:p>
    <w:p>
      <w:pPr>
        <w:pStyle w:val="866"/>
        <w:ind w:left="360"/>
        <w:rPr>
          <w:rFonts w:ascii="Times New Roman" w:hAnsi="Times New Roman" w:eastAsia="Arial Unicode MS"/>
          <w:b/>
          <w:color w:val="000000"/>
          <w:sz w:val="20"/>
          <w:szCs w:val="20"/>
        </w:rPr>
      </w:pPr>
      <w:r>
        <w:rPr>
          <w:rFonts w:ascii="Times New Roman" w:hAnsi="Times New Roman" w:eastAsia="Arial Unicode MS"/>
          <w:b/>
          <w:color w:val="000000"/>
          <w:sz w:val="20"/>
          <w:szCs w:val="20"/>
        </w:rPr>
        <w:t xml:space="preserve">Характеристики, указанные заказчиком в интервальном значении – указываются участником так же в интервальном значении. </w:t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</w:p>
    <w:p>
      <w:pPr>
        <w:pStyle w:val="866"/>
        <w:ind w:left="360"/>
        <w:rPr>
          <w:rFonts w:ascii="Times New Roman" w:hAnsi="Times New Roman" w:eastAsia="Arial Unicode MS"/>
          <w:b/>
          <w:color w:val="000000"/>
          <w:sz w:val="20"/>
          <w:szCs w:val="20"/>
        </w:rPr>
      </w:pPr>
      <w:r>
        <w:rPr>
          <w:rFonts w:ascii="Times New Roman" w:hAnsi="Times New Roman" w:eastAsia="Arial Unicode MS"/>
          <w:b/>
          <w:color w:val="000000"/>
          <w:sz w:val="20"/>
          <w:szCs w:val="20"/>
        </w:rPr>
        <w:t xml:space="preserve">Характеристики, указанные заказчиком через «или», либо в виде перечня – указываются участником в виде одного, конкретного показателя, соответствующего одной из перечисленных характеристик, без слов «или».</w:t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</w:p>
    <w:p>
      <w:pPr>
        <w:pStyle w:val="866"/>
        <w:ind w:left="360"/>
        <w:rPr>
          <w:rFonts w:ascii="Times New Roman" w:hAnsi="Times New Roman" w:eastAsia="Arial Unicode MS"/>
          <w:b/>
          <w:color w:val="000000"/>
          <w:sz w:val="20"/>
          <w:szCs w:val="20"/>
        </w:rPr>
      </w:pPr>
      <w:r>
        <w:rPr>
          <w:rFonts w:ascii="Times New Roman" w:hAnsi="Times New Roman" w:eastAsia="Arial Unicode MS"/>
          <w:b/>
          <w:color w:val="000000"/>
          <w:sz w:val="20"/>
          <w:szCs w:val="20"/>
        </w:rPr>
        <w:t xml:space="preserve">Характеристики, </w:t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  <w:t xml:space="preserve">у</w:t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  <w:t xml:space="preserve">казанные заказчиком в значениях эквивалентности с словами «не более», «не менее», «до», «не ниже»- указываются участником в виде конкретного показателя, без слов «не более», «не менее», «до», «не ниже» и имеющего величину в пределах, указанных заказчиком. </w:t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</w:p>
    <w:p>
      <w:pPr>
        <w:pStyle w:val="866"/>
        <w:ind w:left="360"/>
        <w:rPr>
          <w:rFonts w:ascii="Times New Roman" w:hAnsi="Times New Roman" w:eastAsia="Arial Unicode MS"/>
          <w:b/>
          <w:color w:val="000000"/>
          <w:sz w:val="20"/>
          <w:szCs w:val="20"/>
        </w:rPr>
      </w:pPr>
      <w:r>
        <w:rPr>
          <w:rFonts w:ascii="Times New Roman" w:hAnsi="Times New Roman" w:eastAsia="Arial Unicode MS"/>
          <w:b/>
          <w:color w:val="000000"/>
          <w:sz w:val="20"/>
          <w:szCs w:val="20"/>
        </w:rPr>
        <w:t xml:space="preserve">Характеристики, которые заказчик указал как неизменяемые, должны быть указаны участником в значениях эквивалентности такими же и должны совпадать в предложенном участником Товаре или условиях поставки. </w:t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</w:p>
    <w:p>
      <w:pPr>
        <w:pStyle w:val="866"/>
        <w:ind w:left="360"/>
        <w:rPr>
          <w:rFonts w:ascii="Times New Roman" w:hAnsi="Times New Roman" w:eastAsia="Arial Unicode MS"/>
          <w:b/>
          <w:color w:val="000000"/>
          <w:sz w:val="20"/>
          <w:szCs w:val="20"/>
        </w:rPr>
      </w:pPr>
      <w:r>
        <w:rPr>
          <w:rFonts w:ascii="Times New Roman" w:hAnsi="Times New Roman" w:eastAsia="Arial Unicode MS"/>
          <w:b/>
          <w:color w:val="000000"/>
          <w:sz w:val="20"/>
          <w:szCs w:val="20"/>
        </w:rPr>
        <w:t xml:space="preserve">Характеристики без указания значения эквивалентности (пустая графа в столбце значений эквивалентности) – заполняются участником в виде показателей соответственной характеристики предлагаемой продукции. </w:t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</w:p>
    <w:p>
      <w:pPr>
        <w:pStyle w:val="866"/>
        <w:ind w:left="360"/>
        <w:rPr>
          <w:rFonts w:ascii="Times New Roman" w:hAnsi="Times New Roman" w:eastAsia="Arial Unicode MS"/>
          <w:b/>
          <w:color w:val="000000"/>
          <w:sz w:val="20"/>
          <w:szCs w:val="20"/>
        </w:rPr>
      </w:pPr>
      <w:r>
        <w:rPr>
          <w:rFonts w:ascii="Times New Roman" w:hAnsi="Times New Roman" w:eastAsia="Arial Unicode MS"/>
          <w:b/>
          <w:color w:val="000000"/>
          <w:sz w:val="20"/>
          <w:szCs w:val="20"/>
        </w:rPr>
        <w:t xml:space="preserve">Условия поставки, указанные заказчиком в разделах, принимаются участником закупки и должны быть выполнены при заключении договора. </w:t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</w:p>
    <w:p>
      <w:pPr>
        <w:pStyle w:val="866"/>
        <w:ind w:left="360"/>
        <w:rPr>
          <w:rFonts w:ascii="Times New Roman" w:hAnsi="Times New Roman" w:eastAsia="Arial Unicode MS"/>
          <w:b/>
          <w:color w:val="000000"/>
          <w:sz w:val="20"/>
          <w:szCs w:val="20"/>
        </w:rPr>
      </w:pPr>
      <w:r>
        <w:rPr>
          <w:rFonts w:ascii="Times New Roman" w:hAnsi="Times New Roman" w:eastAsia="Arial Unicode MS"/>
          <w:b/>
          <w:color w:val="000000"/>
          <w:sz w:val="20"/>
          <w:szCs w:val="20"/>
        </w:rPr>
        <w:t xml:space="preserve">Условия с формой «должен быть», «должно» и т.п. - принимаются участником закупки и заявляются в утвердительной форме, без слов «должен быть», «должен» и т.п.</w:t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</w:p>
    <w:p>
      <w:pPr>
        <w:pStyle w:val="866"/>
        <w:ind w:left="360"/>
        <w:rPr>
          <w:rFonts w:ascii="Times New Roman" w:hAnsi="Times New Roman" w:eastAsia="Arial Unicode MS"/>
          <w:b/>
          <w:color w:val="000000"/>
          <w:sz w:val="20"/>
          <w:szCs w:val="20"/>
        </w:rPr>
      </w:pPr>
      <w:r>
        <w:rPr>
          <w:rFonts w:ascii="Times New Roman" w:hAnsi="Times New Roman" w:eastAsia="Arial Unicode MS"/>
          <w:b/>
          <w:color w:val="000000"/>
          <w:sz w:val="20"/>
          <w:szCs w:val="20"/>
        </w:rPr>
        <w:t xml:space="preserve">_________"</w:t>
        <w:tab/>
        <w:tab/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</w:p>
    <w:p>
      <w:pPr>
        <w:pStyle w:val="866"/>
        <w:ind w:left="360"/>
        <w:rPr>
          <w:rFonts w:ascii="Times New Roman" w:hAnsi="Times New Roman" w:eastAsia="Arial Unicode MS"/>
          <w:b/>
          <w:color w:val="000000"/>
          <w:sz w:val="20"/>
          <w:szCs w:val="20"/>
        </w:rPr>
      </w:pPr>
      <w:r>
        <w:rPr>
          <w:rFonts w:ascii="Times New Roman" w:hAnsi="Times New Roman" w:eastAsia="Arial Unicode MS"/>
          <w:b/>
          <w:color w:val="000000"/>
          <w:sz w:val="20"/>
          <w:szCs w:val="20"/>
        </w:rPr>
        <w:tab/>
        <w:tab/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</w:p>
    <w:sectPr>
      <w:footnotePr/>
      <w:endnotePr/>
      <w:type w:val="nextPage"/>
      <w:pgSz w:w="11906" w:h="16838" w:orient="portrait"/>
      <w:pgMar w:top="397" w:right="567" w:bottom="397" w:left="862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GaramondNarrowC">
    <w:panose1 w:val="02000603000000000000"/>
  </w:font>
  <w:font w:name="Calibri Light">
    <w:panose1 w:val="020F0302020204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0"/>
      <w:numFmt w:val="bullet"/>
      <w:isLgl w:val="false"/>
      <w:suff w:val="tab"/>
      <w:lvlText w:val="•"/>
      <w:lvlJc w:val="left"/>
      <w:pPr>
        <w:ind w:left="1440" w:hanging="360"/>
      </w:pPr>
      <w:rPr>
        <w:rFonts w:ascii="Arial" w:hAnsi="Arial" w:eastAsia="Times New Roman" w:cs="Aria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ideographDigital"/>
      <w:isLgl w:val="false"/>
      <w:suff w:val="tab"/>
      <w:lvlText w:val=""/>
      <w:lvlJc w:val="left"/>
      <w:pPr/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11"/>
  </w:num>
  <w:num w:numId="8">
    <w:abstractNumId w:val="4"/>
  </w:num>
  <w:num w:numId="9">
    <w:abstractNumId w:val="9"/>
  </w:num>
  <w:num w:numId="10">
    <w:abstractNumId w:val="0"/>
  </w:num>
  <w:num w:numId="11">
    <w:abstractNumId w:val="5"/>
  </w:num>
  <w:num w:numId="12">
    <w:abstractNumId w:val="3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paragraph" w:styleId="867">
    <w:name w:val="Заголовок 1"/>
    <w:basedOn w:val="866"/>
    <w:next w:val="866"/>
    <w:link w:val="889"/>
    <w:uiPriority w:val="9"/>
    <w:qFormat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868">
    <w:name w:val="Заголовок 2"/>
    <w:basedOn w:val="866"/>
    <w:next w:val="868"/>
    <w:link w:val="884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869">
    <w:name w:val="Основной шрифт абзаца"/>
    <w:next w:val="869"/>
    <w:link w:val="866"/>
    <w:uiPriority w:val="1"/>
    <w:unhideWhenUsed/>
  </w:style>
  <w:style w:type="table" w:styleId="870">
    <w:name w:val="Обычная таблица"/>
    <w:next w:val="870"/>
    <w:link w:val="866"/>
    <w:uiPriority w:val="99"/>
    <w:semiHidden/>
    <w:unhideWhenUsed/>
    <w:qFormat/>
    <w:tblPr/>
  </w:style>
  <w:style w:type="numbering" w:styleId="871">
    <w:name w:val="Нет списка"/>
    <w:next w:val="871"/>
    <w:link w:val="866"/>
    <w:uiPriority w:val="99"/>
    <w:semiHidden/>
    <w:unhideWhenUsed/>
  </w:style>
  <w:style w:type="table" w:styleId="872">
    <w:name w:val="Сетка таблицы"/>
    <w:basedOn w:val="870"/>
    <w:next w:val="872"/>
    <w:link w:val="866"/>
    <w:uiPriority w:val="59"/>
    <w:pPr>
      <w:spacing w:after="0" w:line="240" w:lineRule="auto"/>
    </w:pPr>
    <w:tblPr/>
  </w:style>
  <w:style w:type="paragraph" w:styleId="873">
    <w:name w:val="Абзац списка"/>
    <w:basedOn w:val="866"/>
    <w:next w:val="873"/>
    <w:link w:val="866"/>
    <w:uiPriority w:val="34"/>
    <w:qFormat/>
    <w:pPr>
      <w:contextualSpacing/>
      <w:ind w:left="720"/>
    </w:pPr>
  </w:style>
  <w:style w:type="paragraph" w:styleId="874">
    <w:name w:val="Default"/>
    <w:next w:val="874"/>
    <w:link w:val="866"/>
    <w:rPr>
      <w:rFonts w:ascii="Arial" w:hAnsi="Arial" w:cs="Arial"/>
      <w:color w:val="000000"/>
      <w:sz w:val="24"/>
      <w:szCs w:val="24"/>
      <w:lang w:val="ru-RU" w:eastAsia="ru-RU" w:bidi="ar-SA"/>
    </w:rPr>
  </w:style>
  <w:style w:type="paragraph" w:styleId="875">
    <w:name w:val="02statia2"/>
    <w:basedOn w:val="866"/>
    <w:next w:val="875"/>
    <w:link w:val="866"/>
    <w:pPr>
      <w:ind w:left="2020" w:hanging="880"/>
      <w:jc w:val="both"/>
      <w:spacing w:before="120" w:after="0" w:line="320" w:lineRule="atLeast"/>
    </w:pPr>
    <w:rPr>
      <w:rFonts w:ascii="GaramondNarrowC" w:hAnsi="GaramondNarrowC" w:eastAsia="Calibri" w:cs="Times New Roman"/>
      <w:color w:val="000000"/>
      <w:sz w:val="21"/>
      <w:szCs w:val="21"/>
    </w:rPr>
  </w:style>
  <w:style w:type="paragraph" w:styleId="876">
    <w:name w:val="Текст выноски"/>
    <w:basedOn w:val="866"/>
    <w:next w:val="876"/>
    <w:link w:val="87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7">
    <w:name w:val="Текст выноски Знак"/>
    <w:next w:val="877"/>
    <w:link w:val="876"/>
    <w:uiPriority w:val="99"/>
    <w:semiHidden/>
    <w:rPr>
      <w:rFonts w:ascii="Tahoma" w:hAnsi="Tahoma" w:cs="Tahoma"/>
      <w:sz w:val="16"/>
      <w:szCs w:val="16"/>
    </w:rPr>
  </w:style>
  <w:style w:type="paragraph" w:styleId="878">
    <w:name w:val="Название объекта"/>
    <w:basedOn w:val="866"/>
    <w:next w:val="866"/>
    <w:link w:val="866"/>
    <w:uiPriority w:val="35"/>
    <w:unhideWhenUsed/>
    <w:qFormat/>
    <w:pPr>
      <w:spacing w:line="240" w:lineRule="auto"/>
    </w:pPr>
    <w:rPr>
      <w:b/>
      <w:bCs/>
      <w:color w:val="4f81bd"/>
      <w:sz w:val="18"/>
      <w:szCs w:val="18"/>
    </w:rPr>
  </w:style>
  <w:style w:type="character" w:styleId="879">
    <w:name w:val="Знак примечания"/>
    <w:next w:val="879"/>
    <w:link w:val="866"/>
    <w:uiPriority w:val="99"/>
    <w:semiHidden/>
    <w:unhideWhenUsed/>
    <w:rPr>
      <w:sz w:val="16"/>
      <w:szCs w:val="16"/>
    </w:rPr>
  </w:style>
  <w:style w:type="paragraph" w:styleId="880">
    <w:name w:val="Текст примечания"/>
    <w:basedOn w:val="866"/>
    <w:next w:val="880"/>
    <w:link w:val="881"/>
    <w:uiPriority w:val="99"/>
    <w:unhideWhenUsed/>
    <w:pPr>
      <w:spacing w:line="240" w:lineRule="auto"/>
    </w:pPr>
    <w:rPr>
      <w:sz w:val="20"/>
      <w:szCs w:val="20"/>
    </w:rPr>
  </w:style>
  <w:style w:type="character" w:styleId="881">
    <w:name w:val="Текст примечания Знак"/>
    <w:next w:val="881"/>
    <w:link w:val="880"/>
    <w:uiPriority w:val="99"/>
    <w:rPr>
      <w:sz w:val="20"/>
      <w:szCs w:val="20"/>
    </w:rPr>
  </w:style>
  <w:style w:type="paragraph" w:styleId="882">
    <w:name w:val="Тема примечания"/>
    <w:basedOn w:val="880"/>
    <w:next w:val="880"/>
    <w:link w:val="883"/>
    <w:uiPriority w:val="99"/>
    <w:semiHidden/>
    <w:unhideWhenUsed/>
    <w:rPr>
      <w:b/>
      <w:bCs/>
    </w:rPr>
  </w:style>
  <w:style w:type="character" w:styleId="883">
    <w:name w:val="Тема примечания Знак"/>
    <w:next w:val="883"/>
    <w:link w:val="882"/>
    <w:uiPriority w:val="99"/>
    <w:semiHidden/>
    <w:rPr>
      <w:b/>
      <w:bCs/>
      <w:sz w:val="20"/>
      <w:szCs w:val="20"/>
    </w:rPr>
  </w:style>
  <w:style w:type="character" w:styleId="884">
    <w:name w:val="Заголовок 2 Знак"/>
    <w:next w:val="884"/>
    <w:link w:val="868"/>
    <w:uiPriority w:val="9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885">
    <w:name w:val="apple-converted-space"/>
    <w:basedOn w:val="869"/>
    <w:next w:val="885"/>
    <w:link w:val="866"/>
  </w:style>
  <w:style w:type="character" w:styleId="886">
    <w:name w:val="Гиперссылка"/>
    <w:next w:val="886"/>
    <w:link w:val="866"/>
    <w:uiPriority w:val="99"/>
    <w:unhideWhenUsed/>
    <w:rPr>
      <w:color w:val="0000ff"/>
      <w:u w:val="single"/>
    </w:rPr>
  </w:style>
  <w:style w:type="paragraph" w:styleId="887">
    <w:name w:val="Без интервала"/>
    <w:next w:val="887"/>
    <w:link w:val="866"/>
    <w:uiPriority w:val="1"/>
    <w:qFormat/>
    <w:pPr>
      <w:jc w:val="both"/>
      <w:pBdr>
        <w:bottom w:val="single" w:color="000000" w:sz="12" w:space="1"/>
      </w:pBdr>
    </w:pPr>
    <w:rPr>
      <w:rFonts w:ascii="Times New Roman" w:hAnsi="Times New Roman" w:eastAsia="Calibri"/>
      <w:sz w:val="28"/>
      <w:szCs w:val="28"/>
      <w:lang w:val="ru-RU" w:eastAsia="ru-RU" w:bidi="ar-SA"/>
    </w:rPr>
  </w:style>
  <w:style w:type="character" w:styleId="888">
    <w:name w:val="Строгий"/>
    <w:next w:val="888"/>
    <w:link w:val="866"/>
    <w:uiPriority w:val="22"/>
    <w:qFormat/>
    <w:rPr>
      <w:b/>
      <w:bCs/>
    </w:rPr>
  </w:style>
  <w:style w:type="character" w:styleId="889">
    <w:name w:val="Заголовок 1 Знак"/>
    <w:next w:val="889"/>
    <w:link w:val="867"/>
    <w:uiPriority w:val="9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890">
    <w:name w:val="_3jjfa"/>
    <w:next w:val="890"/>
    <w:link w:val="866"/>
  </w:style>
  <w:style w:type="character" w:styleId="891" w:default="1">
    <w:name w:val="Default Paragraph Font"/>
    <w:uiPriority w:val="1"/>
    <w:semiHidden/>
    <w:unhideWhenUsed/>
  </w:style>
  <w:style w:type="numbering" w:styleId="892" w:default="1">
    <w:name w:val="No List"/>
    <w:uiPriority w:val="99"/>
    <w:semiHidden/>
    <w:unhideWhenUsed/>
  </w:style>
  <w:style w:type="table" w:styleId="893" w:default="1">
    <w:name w:val="Normal Table"/>
    <w:uiPriority w:val="99"/>
    <w:semiHidden/>
    <w:unhideWhenUsed/>
    <w:tblPr/>
  </w:style>
  <w:style w:type="paragraph" w:styleId="894" w:customStyle="1">
    <w:name w:val="Body Text Indent 3"/>
    <w:semiHidden/>
    <w:pPr>
      <w:contextualSpacing w:val="0"/>
      <w:ind w:left="0" w:right="0" w:firstLine="709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95" w:customStyle="1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OlimpievL</dc:creator>
  <cp:revision>16</cp:revision>
  <dcterms:created xsi:type="dcterms:W3CDTF">2022-01-26T02:01:00Z</dcterms:created>
  <dcterms:modified xsi:type="dcterms:W3CDTF">2024-07-17T13:31:32Z</dcterms:modified>
  <cp:version>1048576</cp:version>
</cp:coreProperties>
</file>