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EA816">
      <w:pPr>
        <w:rPr>
          <w:sz w:val="20"/>
          <w:szCs w:val="20"/>
        </w:rPr>
      </w:pPr>
    </w:p>
    <w:p w14:paraId="62833087">
      <w:pPr>
        <w:jc w:val="center"/>
        <w:rPr>
          <w:caps/>
          <w:sz w:val="20"/>
          <w:szCs w:val="20"/>
        </w:rPr>
      </w:pPr>
    </w:p>
    <w:p w14:paraId="5DE99165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Техническое задание</w:t>
      </w:r>
    </w:p>
    <w:p w14:paraId="77D5D00F">
      <w:pPr>
        <w:jc w:val="center"/>
        <w:rPr>
          <w:rFonts w:hint="default" w:ascii="Arial" w:hAnsi="Arial" w:cs="Arial"/>
          <w:b/>
          <w:sz w:val="22"/>
          <w:szCs w:val="22"/>
          <w:lang w:val="ru-RU"/>
        </w:rPr>
      </w:pPr>
      <w:bookmarkStart w:id="0" w:name="_Hlk65062481"/>
      <w:r>
        <w:rPr>
          <w:rFonts w:ascii="Arial" w:hAnsi="Arial" w:cs="Arial"/>
          <w:b/>
          <w:sz w:val="22"/>
          <w:szCs w:val="22"/>
        </w:rPr>
        <w:t xml:space="preserve">Поставка </w:t>
      </w:r>
      <w:bookmarkEnd w:id="0"/>
      <w:r>
        <w:rPr>
          <w:rFonts w:ascii="Arial" w:hAnsi="Arial" w:cs="Arial"/>
          <w:b/>
          <w:sz w:val="22"/>
          <w:szCs w:val="22"/>
          <w:lang w:val="ru-RU"/>
        </w:rPr>
        <w:t>пломбировочных</w:t>
      </w:r>
      <w:r>
        <w:rPr>
          <w:rFonts w:hint="default" w:ascii="Arial" w:hAnsi="Arial" w:cs="Arial"/>
          <w:b/>
          <w:sz w:val="22"/>
          <w:szCs w:val="22"/>
          <w:lang w:val="ru-RU"/>
        </w:rPr>
        <w:t xml:space="preserve"> материалов для нужд  сети стоматологических клиник</w:t>
      </w:r>
    </w:p>
    <w:p w14:paraId="237F19D7">
      <w:pPr>
        <w:jc w:val="center"/>
        <w:rPr>
          <w:rFonts w:ascii="Arial" w:hAnsi="Arial" w:cs="Arial"/>
          <w:b/>
          <w:sz w:val="22"/>
          <w:szCs w:val="22"/>
        </w:rPr>
      </w:pPr>
    </w:p>
    <w:p w14:paraId="609BB5E0">
      <w:pPr>
        <w:numPr>
          <w:ilvl w:val="0"/>
          <w:numId w:val="4"/>
        </w:numPr>
        <w:tabs>
          <w:tab w:val="left" w:pos="567"/>
        </w:tabs>
        <w:suppressAutoHyphens w:val="0"/>
        <w:ind w:left="142" w:firstLine="0"/>
        <w:jc w:val="both"/>
        <w:rPr>
          <w:rFonts w:ascii="Arial" w:hAnsi="Arial" w:cs="Arial"/>
          <w:b/>
          <w:sz w:val="22"/>
          <w:szCs w:val="22"/>
          <w:highlight w:val="yellow"/>
        </w:rPr>
      </w:pPr>
      <w:r>
        <w:rPr>
          <w:rFonts w:ascii="Arial" w:hAnsi="Arial" w:cs="Arial"/>
          <w:b/>
          <w:sz w:val="22"/>
          <w:szCs w:val="22"/>
        </w:rPr>
        <w:t xml:space="preserve">Объект закупки: </w:t>
      </w:r>
      <w:r>
        <w:rPr>
          <w:rFonts w:ascii="Helvetica" w:hAnsi="Helvetica" w:cs="Helvetica"/>
          <w:color w:val="1A1A1A"/>
          <w:sz w:val="19"/>
          <w:szCs w:val="19"/>
          <w:highlight w:val="yellow"/>
          <w:shd w:val="clear" w:color="auto" w:fill="FFFFFF"/>
        </w:rPr>
        <w:t xml:space="preserve">Стерилизатор паровой медицинский </w:t>
      </w:r>
      <w:r>
        <w:rPr>
          <w:rFonts w:ascii="Helvetica" w:hAnsi="Helvetica" w:cs="Helvetica"/>
          <w:color w:val="1A1A1A"/>
          <w:sz w:val="19"/>
          <w:szCs w:val="19"/>
          <w:highlight w:val="yellow"/>
          <w:shd w:val="clear" w:color="auto" w:fill="FFFFFF"/>
          <w:lang w:val="en-US"/>
        </w:rPr>
        <w:t>ANHEL</w:t>
      </w:r>
      <w:r>
        <w:rPr>
          <w:rFonts w:ascii="Helvetica" w:hAnsi="Helvetica" w:cs="Helvetica"/>
          <w:color w:val="1A1A1A"/>
          <w:sz w:val="19"/>
          <w:szCs w:val="19"/>
          <w:highlight w:val="yellow"/>
          <w:shd w:val="clear" w:color="auto" w:fill="FFFFFF"/>
        </w:rPr>
        <w:t xml:space="preserve"> </w:t>
      </w:r>
      <w:r>
        <w:rPr>
          <w:rFonts w:ascii="Helvetica" w:hAnsi="Helvetica" w:cs="Helvetica"/>
          <w:color w:val="1A1A1A"/>
          <w:sz w:val="19"/>
          <w:szCs w:val="19"/>
          <w:highlight w:val="yellow"/>
          <w:shd w:val="clear" w:color="auto" w:fill="FFFFFF"/>
          <w:lang w:val="en-US"/>
        </w:rPr>
        <w:t>ROMAX</w:t>
      </w:r>
      <w:r>
        <w:rPr>
          <w:rFonts w:ascii="Helvetica" w:hAnsi="Helvetica" w:cs="Helvetica"/>
          <w:color w:val="1A1A1A"/>
          <w:sz w:val="19"/>
          <w:szCs w:val="19"/>
          <w:highlight w:val="yellow"/>
          <w:shd w:val="clear" w:color="auto" w:fill="FFFFFF"/>
        </w:rPr>
        <w:t xml:space="preserve"> </w:t>
      </w:r>
      <w:r>
        <w:rPr>
          <w:rFonts w:ascii="Helvetica" w:hAnsi="Helvetica" w:cs="Helvetica"/>
          <w:color w:val="1A1A1A"/>
          <w:sz w:val="19"/>
          <w:szCs w:val="19"/>
          <w:highlight w:val="yellow"/>
          <w:shd w:val="clear" w:color="auto" w:fill="FFFFFF"/>
          <w:lang w:val="en-US"/>
        </w:rPr>
        <w:t>YS</w:t>
      </w:r>
      <w:r>
        <w:rPr>
          <w:rFonts w:ascii="Helvetica" w:hAnsi="Helvetica" w:cs="Helvetica"/>
          <w:color w:val="1A1A1A"/>
          <w:sz w:val="19"/>
          <w:szCs w:val="19"/>
          <w:highlight w:val="yellow"/>
          <w:shd w:val="clear" w:color="auto" w:fill="FFFFFF"/>
        </w:rPr>
        <w:t>-18</w:t>
      </w:r>
      <w:r>
        <w:rPr>
          <w:rFonts w:ascii="Helvetica" w:hAnsi="Helvetica" w:cs="Helvetica"/>
          <w:color w:val="1A1A1A"/>
          <w:sz w:val="19"/>
          <w:szCs w:val="19"/>
          <w:highlight w:val="yellow"/>
          <w:shd w:val="clear" w:color="auto" w:fill="FFFFFF"/>
          <w:lang w:val="en-US"/>
        </w:rPr>
        <w:t>L</w:t>
      </w:r>
      <w:r>
        <w:rPr>
          <w:rFonts w:ascii="Helvetica" w:hAnsi="Helvetica" w:cs="Helvetica"/>
          <w:color w:val="1A1A1A"/>
          <w:sz w:val="19"/>
          <w:szCs w:val="19"/>
          <w:highlight w:val="yellow"/>
          <w:shd w:val="clear" w:color="auto" w:fill="FFFFFF"/>
        </w:rPr>
        <w:t>/22</w:t>
      </w:r>
      <w:r>
        <w:rPr>
          <w:rFonts w:ascii="Helvetica" w:hAnsi="Helvetica" w:cs="Helvetica"/>
          <w:color w:val="1A1A1A"/>
          <w:sz w:val="19"/>
          <w:szCs w:val="19"/>
          <w:highlight w:val="yellow"/>
          <w:shd w:val="clear" w:color="auto" w:fill="FFFFFF"/>
          <w:lang w:val="en-US"/>
        </w:rPr>
        <w:t>L</w:t>
      </w:r>
    </w:p>
    <w:p w14:paraId="07BA9D96">
      <w:pPr>
        <w:tabs>
          <w:tab w:val="left" w:pos="567"/>
        </w:tabs>
        <w:suppressAutoHyphens w:val="0"/>
        <w:ind w:left="142"/>
        <w:jc w:val="both"/>
        <w:rPr>
          <w:rFonts w:ascii="Arial" w:hAnsi="Arial" w:cs="Arial"/>
          <w:b/>
          <w:sz w:val="22"/>
          <w:szCs w:val="22"/>
        </w:rPr>
      </w:pPr>
    </w:p>
    <w:p w14:paraId="509D37E7">
      <w:pPr>
        <w:numPr>
          <w:ilvl w:val="0"/>
          <w:numId w:val="4"/>
        </w:numPr>
        <w:tabs>
          <w:tab w:val="left" w:pos="567"/>
          <w:tab w:val="left" w:pos="709"/>
        </w:tabs>
        <w:suppressAutoHyphens w:val="0"/>
        <w:ind w:left="142" w:firstLine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Место поставки: </w:t>
      </w:r>
    </w:p>
    <w:p w14:paraId="1659D800">
      <w:pPr>
        <w:tabs>
          <w:tab w:val="left" w:pos="567"/>
          <w:tab w:val="left" w:pos="709"/>
        </w:tabs>
        <w:suppressAutoHyphens w:val="0"/>
        <w:ind w:left="142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33"/>
        <w:tblW w:w="93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3"/>
        <w:gridCol w:w="3414"/>
        <w:gridCol w:w="3938"/>
      </w:tblGrid>
      <w:tr w14:paraId="2E92D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63" w:type="dxa"/>
            <w:noWrap/>
          </w:tcPr>
          <w:p w14:paraId="2FFE0FD8">
            <w:pPr>
              <w:tabs>
                <w:tab w:val="left" w:pos="567"/>
                <w:tab w:val="left" w:pos="709"/>
              </w:tabs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Регион</w:t>
            </w:r>
          </w:p>
        </w:tc>
        <w:tc>
          <w:tcPr>
            <w:tcW w:w="3414" w:type="dxa"/>
          </w:tcPr>
          <w:p w14:paraId="40B2A3F7">
            <w:pPr>
              <w:tabs>
                <w:tab w:val="left" w:pos="567"/>
                <w:tab w:val="left" w:pos="709"/>
              </w:tabs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Название клиники юридическое</w:t>
            </w:r>
          </w:p>
        </w:tc>
        <w:tc>
          <w:tcPr>
            <w:tcW w:w="3938" w:type="dxa"/>
            <w:noWrap/>
          </w:tcPr>
          <w:p w14:paraId="2049140C">
            <w:pPr>
              <w:tabs>
                <w:tab w:val="left" w:pos="567"/>
                <w:tab w:val="left" w:pos="709"/>
              </w:tabs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Адрес/телефон клиники</w:t>
            </w:r>
          </w:p>
        </w:tc>
      </w:tr>
      <w:tr w14:paraId="774BB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963" w:type="dxa"/>
            <w:noWrap/>
          </w:tcPr>
          <w:p w14:paraId="4D8C69C7">
            <w:pPr>
              <w:tabs>
                <w:tab w:val="left" w:pos="567"/>
                <w:tab w:val="left" w:pos="709"/>
              </w:tabs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Самара</w:t>
            </w:r>
          </w:p>
        </w:tc>
        <w:tc>
          <w:tcPr>
            <w:tcW w:w="3414" w:type="dxa"/>
          </w:tcPr>
          <w:p w14:paraId="1EC2E30B">
            <w:pPr>
              <w:tabs>
                <w:tab w:val="left" w:pos="567"/>
                <w:tab w:val="left" w:pos="709"/>
              </w:tabs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ООО "Стоматология Самара"</w:t>
            </w:r>
          </w:p>
        </w:tc>
        <w:tc>
          <w:tcPr>
            <w:tcW w:w="3938" w:type="dxa"/>
          </w:tcPr>
          <w:p w14:paraId="358CD81E">
            <w:pPr>
              <w:tabs>
                <w:tab w:val="left" w:pos="567"/>
                <w:tab w:val="left" w:pos="709"/>
              </w:tabs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Самарская, 207</w:t>
            </w:r>
          </w:p>
        </w:tc>
      </w:tr>
    </w:tbl>
    <w:p w14:paraId="219947F0">
      <w:pPr>
        <w:tabs>
          <w:tab w:val="left" w:pos="567"/>
          <w:tab w:val="left" w:pos="709"/>
        </w:tabs>
        <w:suppressAutoHyphens w:val="0"/>
        <w:jc w:val="both"/>
        <w:rPr>
          <w:rFonts w:ascii="Arial" w:hAnsi="Arial" w:cs="Arial"/>
          <w:b/>
          <w:sz w:val="22"/>
          <w:szCs w:val="22"/>
        </w:rPr>
      </w:pPr>
    </w:p>
    <w:p w14:paraId="5DC05F50">
      <w:pPr>
        <w:tabs>
          <w:tab w:val="left" w:pos="567"/>
          <w:tab w:val="left" w:pos="709"/>
        </w:tabs>
        <w:suppressAutoHyphens w:val="0"/>
        <w:jc w:val="both"/>
        <w:rPr>
          <w:rFonts w:ascii="Arial" w:hAnsi="Arial" w:cs="Arial"/>
          <w:b/>
          <w:sz w:val="22"/>
          <w:szCs w:val="22"/>
        </w:rPr>
      </w:pPr>
    </w:p>
    <w:p w14:paraId="3A76777A">
      <w:pPr>
        <w:pStyle w:val="88"/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left="142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Срок и условия поставки: </w:t>
      </w:r>
      <w:r>
        <w:rPr>
          <w:rFonts w:ascii="Arial" w:hAnsi="Arial" w:cs="Arial"/>
          <w:bCs/>
        </w:rPr>
        <w:t xml:space="preserve">Поставка товара осуществляется в соответствии с Приложением №1 (Спецификация) партиями на основании заявок Заказчика в течение 3 (трех) рабочих дней со дня подачи заявки, содержащих условия о наименовании и номенклатурном номере товара, единицы измерения, количестве единиц товара, дате заявки и адресе доставки товара.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Заявка формируется с учетом потребностей Заказчика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</w:rPr>
        <w:t>Поставка товара осуществляется Поставщиком с момента заключения договора до окончания срока действия договора.</w:t>
      </w:r>
    </w:p>
    <w:p w14:paraId="0084E695">
      <w:pPr>
        <w:pStyle w:val="88"/>
        <w:tabs>
          <w:tab w:val="left" w:pos="567"/>
          <w:tab w:val="left" w:pos="709"/>
        </w:tabs>
        <w:spacing w:after="0" w:line="240" w:lineRule="auto"/>
        <w:ind w:left="142"/>
        <w:jc w:val="both"/>
        <w:rPr>
          <w:rFonts w:ascii="Arial" w:hAnsi="Arial" w:cs="Arial"/>
          <w:b/>
        </w:rPr>
      </w:pPr>
    </w:p>
    <w:p w14:paraId="6DD26600">
      <w:pPr>
        <w:pStyle w:val="88"/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left="142" w:firstLine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Требования к качеству товара:</w:t>
      </w:r>
      <w:r>
        <w:rPr>
          <w:rFonts w:ascii="Arial" w:hAnsi="Arial" w:cs="Arial"/>
        </w:rPr>
        <w:t xml:space="preserve"> Поставляемый товар должен б</w:t>
      </w:r>
      <w:bookmarkStart w:id="2" w:name="_GoBack"/>
      <w:bookmarkEnd w:id="2"/>
      <w:r>
        <w:rPr>
          <w:rFonts w:ascii="Arial" w:hAnsi="Arial" w:cs="Arial"/>
        </w:rPr>
        <w:t>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свойства), работоспособным и иметь предусмотренную изготовителем функциональность и должен быть свободен от прав третьих лиц.</w:t>
      </w:r>
    </w:p>
    <w:p w14:paraId="3B9FF04E">
      <w:pPr>
        <w:pStyle w:val="88"/>
        <w:tabs>
          <w:tab w:val="left" w:pos="567"/>
          <w:tab w:val="left" w:pos="709"/>
        </w:tabs>
        <w:spacing w:after="0" w:line="240" w:lineRule="auto"/>
        <w:ind w:left="142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Изделия медицинского назначения должны быть зарегистрированы и разрешены к применению на территории Российской Федерации (п. 4 ст. 38 Федерального закона от 21.11.2011 № 323-ФЗ «Об основах охраны здоровья граждан в Российской Федерации»), что подтверждается регистрационными удостоверениями.</w:t>
      </w:r>
    </w:p>
    <w:p w14:paraId="01D2C62B">
      <w:pPr>
        <w:tabs>
          <w:tab w:val="left" w:pos="567"/>
        </w:tabs>
        <w:ind w:left="142" w:firstLine="425"/>
        <w:contextualSpacing/>
        <w:jc w:val="both"/>
        <w:rPr>
          <w:rFonts w:ascii="Arial" w:hAnsi="Arial" w:eastAsia="Calibri" w:cs="Arial"/>
          <w:sz w:val="22"/>
          <w:szCs w:val="22"/>
          <w:lang w:eastAsia="en-US"/>
        </w:rPr>
      </w:pPr>
      <w:r>
        <w:rPr>
          <w:rFonts w:ascii="Arial" w:hAnsi="Arial" w:eastAsia="Calibri" w:cs="Arial"/>
          <w:sz w:val="22"/>
          <w:szCs w:val="22"/>
          <w:lang w:eastAsia="en-US"/>
        </w:rPr>
        <w:t xml:space="preserve">Поставка каждой партии товара должна сопровождаться документами, подтверждающими качество и безопасность поставляемых товаров: копии действующих сертификатов и/или декларации о соответствии, оформленные в соответствии с требованиями действующего законодательства (на товар, подлежащий обязательной сертификации). </w:t>
      </w:r>
    </w:p>
    <w:p w14:paraId="5EBC8CA8">
      <w:pPr>
        <w:tabs>
          <w:tab w:val="left" w:pos="567"/>
        </w:tabs>
        <w:ind w:left="142" w:firstLine="425"/>
        <w:contextualSpacing/>
        <w:jc w:val="both"/>
        <w:rPr>
          <w:rFonts w:ascii="Arial" w:hAnsi="Arial" w:eastAsia="Calibri" w:cs="Arial"/>
          <w:sz w:val="22"/>
          <w:szCs w:val="22"/>
          <w:lang w:eastAsia="en-US"/>
        </w:rPr>
      </w:pPr>
    </w:p>
    <w:p w14:paraId="0C5121B8">
      <w:pPr>
        <w:pStyle w:val="64"/>
        <w:numPr>
          <w:ilvl w:val="0"/>
          <w:numId w:val="4"/>
        </w:numPr>
        <w:tabs>
          <w:tab w:val="left" w:pos="567"/>
        </w:tabs>
        <w:ind w:left="142" w:firstLine="0"/>
        <w:rPr>
          <w:rFonts w:ascii="Arial" w:hAnsi="Arial" w:eastAsia="Calibri" w:cs="Arial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Гарантия</w:t>
      </w:r>
      <w:r>
        <w:rPr>
          <w:rFonts w:ascii="Arial" w:hAnsi="Arial" w:cs="Arial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 xml:space="preserve"> на поставляемый товар должна составлять не менее 12 месяцев, но не менее срока, установленного производителем товара.</w:t>
      </w:r>
    </w:p>
    <w:p w14:paraId="2C2755C5">
      <w:pPr>
        <w:pStyle w:val="64"/>
        <w:tabs>
          <w:tab w:val="left" w:pos="567"/>
        </w:tabs>
        <w:ind w:left="142"/>
        <w:rPr>
          <w:rFonts w:ascii="Arial" w:hAnsi="Arial" w:eastAsia="Calibri" w:cs="Arial"/>
          <w:sz w:val="22"/>
          <w:szCs w:val="22"/>
        </w:rPr>
      </w:pPr>
    </w:p>
    <w:p w14:paraId="1F873DED">
      <w:pPr>
        <w:pStyle w:val="64"/>
        <w:numPr>
          <w:ilvl w:val="0"/>
          <w:numId w:val="4"/>
        </w:numPr>
        <w:tabs>
          <w:tab w:val="left" w:pos="567"/>
        </w:tabs>
        <w:ind w:left="142" w:firstLine="0"/>
        <w:rPr>
          <w:rFonts w:ascii="Arial" w:hAnsi="Arial" w:eastAsia="Calibri" w:cs="Arial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Требования к упаковке:</w:t>
      </w:r>
      <w:r>
        <w:rPr>
          <w:rFonts w:ascii="Arial" w:hAnsi="Arial" w:cs="Arial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 xml:space="preserve"> Тара и упаковка должны обеспечивать сохранность товара при его транспортировке и хранении. Товар должен поставляться в упаковке производителя.</w:t>
      </w:r>
    </w:p>
    <w:p w14:paraId="60F341D5">
      <w:pPr>
        <w:tabs>
          <w:tab w:val="left" w:pos="567"/>
        </w:tabs>
        <w:rPr>
          <w:rFonts w:ascii="Arial" w:hAnsi="Arial" w:eastAsia="Calibri" w:cs="Arial"/>
          <w:sz w:val="22"/>
          <w:szCs w:val="22"/>
        </w:rPr>
      </w:pPr>
    </w:p>
    <w:p w14:paraId="225F7BC6">
      <w:pPr>
        <w:pStyle w:val="64"/>
        <w:numPr>
          <w:ilvl w:val="0"/>
          <w:numId w:val="4"/>
        </w:numPr>
        <w:tabs>
          <w:tab w:val="left" w:pos="567"/>
        </w:tabs>
        <w:ind w:left="142" w:firstLine="0"/>
        <w:rPr>
          <w:rFonts w:ascii="Arial" w:hAnsi="Arial" w:eastAsia="Calibri" w:cs="Arial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Условия поставки:</w:t>
      </w:r>
      <w:r>
        <w:rPr>
          <w:rFonts w:ascii="Arial" w:hAnsi="Arial" w:cs="Arial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 xml:space="preserve"> Доставка товара, погрузочно-разгрузочные работы, подъем на необходимый этаж, производится силами и за счет средств Поставщика до Заказчика. </w:t>
      </w:r>
    </w:p>
    <w:p w14:paraId="42981DEC">
      <w:pPr>
        <w:pStyle w:val="64"/>
        <w:tabs>
          <w:tab w:val="left" w:pos="567"/>
        </w:tabs>
        <w:ind w:left="142"/>
        <w:rPr>
          <w:rFonts w:ascii="Arial" w:hAnsi="Arial" w:eastAsia="Calibri" w:cs="Arial"/>
          <w:sz w:val="22"/>
          <w:szCs w:val="22"/>
        </w:rPr>
      </w:pPr>
    </w:p>
    <w:p w14:paraId="3BADEE21">
      <w:pPr>
        <w:tabs>
          <w:tab w:val="left" w:pos="567"/>
        </w:tabs>
        <w:ind w:left="142"/>
        <w:jc w:val="both"/>
        <w:rPr>
          <w:rFonts w:ascii="Arial" w:hAnsi="Arial" w:eastAsia="Calibri" w:cs="Arial"/>
          <w:sz w:val="22"/>
          <w:szCs w:val="22"/>
        </w:rPr>
      </w:pPr>
      <w:r>
        <w:rPr>
          <w:rFonts w:ascii="Arial" w:hAnsi="Arial" w:eastAsia="Calibri" w:cs="Arial"/>
          <w:sz w:val="22"/>
          <w:szCs w:val="22"/>
        </w:rPr>
        <w:t>В комплект поставки товара должны входить все необходимые материалы, комплектующие и принадлежности в соответствии с его функциональным назначением и требованиями технического задания.</w:t>
      </w:r>
    </w:p>
    <w:p w14:paraId="1A954580">
      <w:pPr>
        <w:tabs>
          <w:tab w:val="left" w:pos="567"/>
        </w:tabs>
        <w:ind w:left="142"/>
        <w:jc w:val="both"/>
        <w:rPr>
          <w:rFonts w:ascii="Arial" w:hAnsi="Arial" w:eastAsia="Calibri" w:cs="Arial"/>
          <w:sz w:val="22"/>
          <w:szCs w:val="22"/>
        </w:rPr>
      </w:pPr>
      <w:r>
        <w:rPr>
          <w:rFonts w:ascii="Arial" w:hAnsi="Arial" w:eastAsia="Calibri" w:cs="Arial"/>
          <w:sz w:val="22"/>
          <w:szCs w:val="22"/>
        </w:rPr>
        <w:t>В комплект поставки должна быть включена необходимая эксплуатационная документация на русском языке.</w:t>
      </w:r>
    </w:p>
    <w:p w14:paraId="12FACC4C">
      <w:pPr>
        <w:tabs>
          <w:tab w:val="left" w:pos="567"/>
        </w:tabs>
        <w:ind w:left="142"/>
        <w:jc w:val="both"/>
        <w:rPr>
          <w:rFonts w:ascii="Arial" w:hAnsi="Arial" w:eastAsia="Calibri" w:cs="Arial"/>
          <w:sz w:val="22"/>
          <w:szCs w:val="22"/>
        </w:rPr>
      </w:pPr>
      <w:r>
        <w:rPr>
          <w:rFonts w:ascii="Arial" w:hAnsi="Arial" w:eastAsia="Calibri" w:cs="Arial"/>
          <w:sz w:val="22"/>
          <w:szCs w:val="22"/>
        </w:rPr>
        <w:t xml:space="preserve">Информация о товаре, в том числе маркировка на упаковке и на изделии (где требуется) должна быть на русском языке или продублирована на русском языке. Маркировка должна содержать сведения о товаре, его наименование, параметры, дату производства, номер партии, срок годности, сведения о производителе товара, а также иные обозначения в соответствии с действующими стандартами и требованиями и иной нормативно-технической документации, действующей в Российской Федерации.  </w:t>
      </w:r>
    </w:p>
    <w:p w14:paraId="1222BAAE">
      <w:pPr>
        <w:tabs>
          <w:tab w:val="left" w:pos="567"/>
        </w:tabs>
        <w:ind w:left="142"/>
        <w:jc w:val="both"/>
        <w:rPr>
          <w:rFonts w:ascii="Arial" w:hAnsi="Arial" w:eastAsia="Calibri" w:cs="Arial"/>
          <w:sz w:val="22"/>
          <w:szCs w:val="22"/>
        </w:rPr>
      </w:pPr>
      <w:r>
        <w:rPr>
          <w:rFonts w:ascii="Arial" w:hAnsi="Arial" w:eastAsia="Calibri" w:cs="Arial"/>
          <w:sz w:val="22"/>
          <w:szCs w:val="22"/>
        </w:rPr>
        <w:t>Поставщик обязан передать оформленные сопроводительные документы на поставляемый товар (товарная накладная, счет (счет-фактура), сертификаты качества, регистрационные удостоверения при наличии, иные документы, подтверждающие качество товара и безопасность товара применительно к каждому виду товара) в момент поставки товаров. Продукция, предлагаемая к поставке, должна поставляться в полном соответствии с нормами и требованиями законодательства.</w:t>
      </w:r>
    </w:p>
    <w:p w14:paraId="1DBF2F67">
      <w:pPr>
        <w:tabs>
          <w:tab w:val="left" w:pos="567"/>
        </w:tabs>
        <w:ind w:left="142"/>
        <w:jc w:val="both"/>
        <w:rPr>
          <w:rFonts w:ascii="Arial" w:hAnsi="Arial" w:eastAsia="Calibri" w:cs="Arial"/>
          <w:sz w:val="22"/>
          <w:szCs w:val="22"/>
        </w:rPr>
      </w:pPr>
      <w:r>
        <w:rPr>
          <w:rFonts w:ascii="Arial" w:hAnsi="Arial" w:eastAsia="Calibri" w:cs="Arial"/>
          <w:sz w:val="22"/>
          <w:szCs w:val="22"/>
        </w:rPr>
        <w:t xml:space="preserve"> Стоимость товара остается неизменной в течение всего срока действия договора;</w:t>
      </w:r>
    </w:p>
    <w:p w14:paraId="5A9B5DC1">
      <w:pPr>
        <w:tabs>
          <w:tab w:val="left" w:pos="567"/>
        </w:tabs>
        <w:ind w:left="142"/>
        <w:rPr>
          <w:rFonts w:ascii="Arial" w:hAnsi="Arial" w:eastAsia="Calibri" w:cs="Arial"/>
          <w:sz w:val="22"/>
          <w:szCs w:val="22"/>
        </w:rPr>
      </w:pPr>
    </w:p>
    <w:p w14:paraId="441C2A21">
      <w:pPr>
        <w:pStyle w:val="64"/>
        <w:widowControl w:val="0"/>
        <w:numPr>
          <w:ilvl w:val="0"/>
          <w:numId w:val="4"/>
        </w:numPr>
        <w:tabs>
          <w:tab w:val="left" w:pos="567"/>
          <w:tab w:val="left" w:pos="1276"/>
          <w:tab w:val="left" w:pos="1560"/>
        </w:tabs>
        <w:autoSpaceDE w:val="0"/>
        <w:autoSpaceDN w:val="0"/>
        <w:adjustRightInd w:val="0"/>
        <w:ind w:left="142" w:firstLine="0"/>
        <w:rPr>
          <w:rFonts w:ascii="Arial" w:hAnsi="Arial" w:cs="Arial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Требования к остаточному сроку годности:</w:t>
      </w:r>
      <w:r>
        <w:rPr>
          <w:rFonts w:ascii="Arial" w:hAnsi="Arial" w:cs="Arial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 xml:space="preserve"> Остаточный срок годности на момент поставки товара, в зависимости от срока годности товара, установленного производителем, составляет: </w:t>
      </w:r>
    </w:p>
    <w:p w14:paraId="53459C69">
      <w:pPr>
        <w:widowControl w:val="0"/>
        <w:tabs>
          <w:tab w:val="left" w:pos="567"/>
          <w:tab w:val="left" w:pos="1276"/>
          <w:tab w:val="left" w:pos="1560"/>
        </w:tabs>
        <w:autoSpaceDE w:val="0"/>
        <w:autoSpaceDN w:val="0"/>
        <w:adjustRightInd w:val="0"/>
        <w:ind w:left="142"/>
        <w:rPr>
          <w:rFonts w:ascii="Arial" w:hAnsi="Arial" w:cs="Arial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</w:p>
    <w:p w14:paraId="07890D9B">
      <w:pPr>
        <w:pStyle w:val="64"/>
        <w:widowControl w:val="0"/>
        <w:numPr>
          <w:ilvl w:val="0"/>
          <w:numId w:val="5"/>
        </w:numPr>
        <w:tabs>
          <w:tab w:val="left" w:pos="567"/>
          <w:tab w:val="left" w:pos="1276"/>
          <w:tab w:val="left" w:pos="15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срок годности до 1 года включительно – остаточный срок годности не менее 8 месяцев;</w:t>
      </w:r>
    </w:p>
    <w:p w14:paraId="2FDBB014">
      <w:pPr>
        <w:pStyle w:val="64"/>
        <w:widowControl w:val="0"/>
        <w:numPr>
          <w:ilvl w:val="0"/>
          <w:numId w:val="5"/>
        </w:numPr>
        <w:tabs>
          <w:tab w:val="left" w:pos="567"/>
          <w:tab w:val="left" w:pos="1276"/>
          <w:tab w:val="left" w:pos="15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срок годности 1 до 2 лет включительно - остаточный срок годности не менее 12 месяцев;</w:t>
      </w:r>
    </w:p>
    <w:p w14:paraId="19FEAEA8">
      <w:pPr>
        <w:pStyle w:val="64"/>
        <w:widowControl w:val="0"/>
        <w:numPr>
          <w:ilvl w:val="0"/>
          <w:numId w:val="5"/>
        </w:numPr>
        <w:tabs>
          <w:tab w:val="left" w:pos="567"/>
          <w:tab w:val="left" w:pos="1276"/>
          <w:tab w:val="left" w:pos="15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 xml:space="preserve">срок годности от 2 до 3 лет включительно - остаточный срок годности не менее 1 года 6 месяцев; срок годности от 3 до 5 лет включительно - остаточный срок годности  не менее 2 лет 6 месяцев; </w:t>
      </w:r>
    </w:p>
    <w:p w14:paraId="5A7F3022">
      <w:pPr>
        <w:pStyle w:val="64"/>
        <w:widowControl w:val="0"/>
        <w:numPr>
          <w:ilvl w:val="0"/>
          <w:numId w:val="5"/>
        </w:numPr>
        <w:tabs>
          <w:tab w:val="left" w:pos="567"/>
          <w:tab w:val="left" w:pos="1276"/>
          <w:tab w:val="left" w:pos="15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 xml:space="preserve">срок годности 5 лет и более - остаточный срок годности не менее 3 лет. </w:t>
      </w:r>
    </w:p>
    <w:p w14:paraId="05DA9724">
      <w:pPr>
        <w:widowControl w:val="0"/>
        <w:tabs>
          <w:tab w:val="left" w:pos="567"/>
          <w:tab w:val="left" w:pos="1276"/>
          <w:tab w:val="left" w:pos="15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</w:p>
    <w:p w14:paraId="42D11AAB">
      <w:pPr>
        <w:widowControl w:val="0"/>
        <w:tabs>
          <w:tab w:val="left" w:pos="567"/>
          <w:tab w:val="left" w:pos="1276"/>
          <w:tab w:val="left" w:pos="15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</w:p>
    <w:p w14:paraId="37C5AB33">
      <w:pPr>
        <w:pStyle w:val="64"/>
        <w:widowControl w:val="0"/>
        <w:numPr>
          <w:ilvl w:val="0"/>
          <w:numId w:val="4"/>
        </w:numPr>
        <w:tabs>
          <w:tab w:val="left" w:pos="567"/>
          <w:tab w:val="left" w:pos="1276"/>
          <w:tab w:val="left" w:pos="156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bookmarkStart w:id="1" w:name="_Hlk161915131"/>
      <w:r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Перечень нормативных правовых и нормативных технических актов:</w:t>
      </w:r>
    </w:p>
    <w:bookmarkEnd w:id="1"/>
    <w:p w14:paraId="31DECD33">
      <w:pPr>
        <w:widowControl w:val="0"/>
        <w:tabs>
          <w:tab w:val="left" w:pos="567"/>
          <w:tab w:val="left" w:pos="1276"/>
          <w:tab w:val="left" w:pos="156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</w:p>
    <w:p w14:paraId="4B72DECA">
      <w:pPr>
        <w:widowControl w:val="0"/>
        <w:tabs>
          <w:tab w:val="left" w:pos="567"/>
          <w:tab w:val="left" w:pos="1276"/>
          <w:tab w:val="left" w:pos="15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 xml:space="preserve">9.1- Постановление Правительства РФ от 27.12.2012 </w:t>
      </w:r>
      <w:r>
        <w:rPr>
          <w:rFonts w:ascii="Arial" w:hAnsi="Arial" w:cs="Arial"/>
          <w:sz w:val="22"/>
          <w:szCs w:val="22"/>
          <w:lang w:val="en-US" w:eastAsia="zh-CN"/>
        </w:rPr>
        <w:t>N</w:t>
      </w:r>
      <w:r>
        <w:rPr>
          <w:rFonts w:ascii="Arial" w:hAnsi="Arial" w:cs="Arial"/>
          <w:sz w:val="22"/>
          <w:szCs w:val="22"/>
          <w:lang w:eastAsia="zh-CN"/>
        </w:rPr>
        <w:t xml:space="preserve"> 1416 "Об утверждении Правил государственной регистрации медицинских изделий"</w:t>
      </w:r>
    </w:p>
    <w:p w14:paraId="10D9CD3E">
      <w:pPr>
        <w:widowControl w:val="0"/>
        <w:tabs>
          <w:tab w:val="left" w:pos="567"/>
          <w:tab w:val="left" w:pos="1276"/>
          <w:tab w:val="left" w:pos="15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 xml:space="preserve">9.2 - ПРИКАЗ от 16 января 2013 г. </w:t>
      </w:r>
      <w:r>
        <w:rPr>
          <w:rFonts w:ascii="Arial" w:hAnsi="Arial" w:cs="Arial"/>
          <w:sz w:val="22"/>
          <w:szCs w:val="22"/>
          <w:lang w:val="en-US" w:eastAsia="zh-CN"/>
        </w:rPr>
        <w:t>N</w:t>
      </w:r>
      <w:r>
        <w:rPr>
          <w:rFonts w:ascii="Arial" w:hAnsi="Arial" w:cs="Arial"/>
          <w:sz w:val="22"/>
          <w:szCs w:val="22"/>
          <w:lang w:eastAsia="zh-CN"/>
        </w:rPr>
        <w:t xml:space="preserve"> 40-Пр/13 «ОБ УТВЕРЖДЕНИИ ФОРМЫ РЕГИСТРАЦИОННОГО УДОСТОВЕРЕНИЯ НА МЕДИЦИНСКОЕ ИЗДЕЛИЕ»</w:t>
      </w:r>
    </w:p>
    <w:p w14:paraId="0EA37F8B">
      <w:pPr>
        <w:pStyle w:val="31"/>
        <w:spacing w:before="0" w:beforeAutospacing="0" w:after="0" w:afterAutospacing="0" w:line="288" w:lineRule="atLeast"/>
        <w:jc w:val="both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>9.3 - Н</w:t>
      </w:r>
      <w:r>
        <w:rPr>
          <w:rFonts w:ascii="Arial" w:hAnsi="Arial" w:cs="Arial"/>
          <w:sz w:val="22"/>
          <w:szCs w:val="22"/>
        </w:rPr>
        <w:t xml:space="preserve">ациональный стандарт Российской Федерации </w:t>
      </w:r>
      <w:r>
        <w:rPr>
          <w:rFonts w:ascii="Arial" w:hAnsi="Arial" w:cs="Arial"/>
          <w:sz w:val="22"/>
          <w:szCs w:val="22"/>
          <w:lang w:eastAsia="zh-CN"/>
        </w:rPr>
        <w:t>ГОСТ Р ИСО 15223-1-2014 «Изделия медицинские. Символы, применяемые при маркировании на медицинских изделиях, этикетках и в сопроводительной документации. Часть 1. Основные требования»</w:t>
      </w:r>
    </w:p>
    <w:p w14:paraId="3160BDEE">
      <w:pPr>
        <w:widowControl w:val="0"/>
        <w:tabs>
          <w:tab w:val="left" w:pos="567"/>
          <w:tab w:val="left" w:pos="1276"/>
          <w:tab w:val="left" w:pos="15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 xml:space="preserve">9.4 - Федеральный закон от 21.11.2011 </w:t>
      </w:r>
      <w:r>
        <w:rPr>
          <w:rFonts w:ascii="Arial" w:hAnsi="Arial" w:cs="Arial"/>
          <w:sz w:val="22"/>
          <w:szCs w:val="22"/>
          <w:lang w:val="en-US" w:eastAsia="zh-CN"/>
        </w:rPr>
        <w:t>N</w:t>
      </w:r>
      <w:r>
        <w:rPr>
          <w:rFonts w:ascii="Arial" w:hAnsi="Arial" w:cs="Arial"/>
          <w:sz w:val="22"/>
          <w:szCs w:val="22"/>
          <w:lang w:eastAsia="zh-CN"/>
        </w:rPr>
        <w:t xml:space="preserve"> 323-ФЗ "Об основах охраны здоровья граждан в Российской Федерации"</w:t>
      </w:r>
    </w:p>
    <w:p w14:paraId="67632368">
      <w:pPr>
        <w:widowControl w:val="0"/>
        <w:tabs>
          <w:tab w:val="left" w:pos="567"/>
          <w:tab w:val="left" w:pos="1276"/>
          <w:tab w:val="left" w:pos="15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 xml:space="preserve">9.5 - Приказ Минздрава России от 19.01.2017 </w:t>
      </w:r>
      <w:r>
        <w:rPr>
          <w:rFonts w:ascii="Arial" w:hAnsi="Arial" w:cs="Arial"/>
          <w:sz w:val="22"/>
          <w:szCs w:val="22"/>
          <w:lang w:val="en-US" w:eastAsia="zh-CN"/>
        </w:rPr>
        <w:t>N</w:t>
      </w:r>
      <w:r>
        <w:rPr>
          <w:rFonts w:ascii="Arial" w:hAnsi="Arial" w:cs="Arial"/>
          <w:sz w:val="22"/>
          <w:szCs w:val="22"/>
          <w:lang w:eastAsia="zh-CN"/>
        </w:rPr>
        <w:t xml:space="preserve"> 11н "Об утверждении требований к содержанию технической и эксплуатационной документации производителя (изготовителя) медицинского изделия"</w:t>
      </w:r>
    </w:p>
    <w:p w14:paraId="615245B7">
      <w:pPr>
        <w:widowControl w:val="0"/>
        <w:tabs>
          <w:tab w:val="left" w:pos="567"/>
          <w:tab w:val="left" w:pos="1276"/>
          <w:tab w:val="left" w:pos="15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 xml:space="preserve">9.6 - Решение Комиссии Таможенного союза от 28.05.2010 </w:t>
      </w:r>
      <w:r>
        <w:rPr>
          <w:rFonts w:ascii="Arial" w:hAnsi="Arial" w:cs="Arial"/>
          <w:sz w:val="22"/>
          <w:szCs w:val="22"/>
          <w:lang w:val="en-US" w:eastAsia="zh-CN"/>
        </w:rPr>
        <w:t>N</w:t>
      </w:r>
      <w:r>
        <w:rPr>
          <w:rFonts w:ascii="Arial" w:hAnsi="Arial" w:cs="Arial"/>
          <w:sz w:val="22"/>
          <w:szCs w:val="22"/>
          <w:lang w:eastAsia="zh-CN"/>
        </w:rPr>
        <w:t xml:space="preserve"> 299 "О применении санитарных мер в таможенном союзе".</w:t>
      </w:r>
    </w:p>
    <w:p w14:paraId="2C495DC4">
      <w:pPr>
        <w:widowControl w:val="0"/>
        <w:tabs>
          <w:tab w:val="left" w:pos="567"/>
          <w:tab w:val="left" w:pos="1276"/>
          <w:tab w:val="left" w:pos="15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 xml:space="preserve">9.7 - Федеральный закон от 27.12.2002 </w:t>
      </w:r>
      <w:r>
        <w:rPr>
          <w:rFonts w:ascii="Arial" w:hAnsi="Arial" w:cs="Arial"/>
          <w:sz w:val="22"/>
          <w:szCs w:val="22"/>
          <w:lang w:val="en-US" w:eastAsia="zh-CN"/>
        </w:rPr>
        <w:t>N</w:t>
      </w:r>
      <w:r>
        <w:rPr>
          <w:rFonts w:ascii="Arial" w:hAnsi="Arial" w:cs="Arial"/>
          <w:sz w:val="22"/>
          <w:szCs w:val="22"/>
          <w:lang w:eastAsia="zh-CN"/>
        </w:rPr>
        <w:t xml:space="preserve"> 184-ФЗ "О техническом регулировании"</w:t>
      </w:r>
    </w:p>
    <w:p w14:paraId="159EEB57">
      <w:pPr>
        <w:widowControl w:val="0"/>
        <w:tabs>
          <w:tab w:val="left" w:pos="567"/>
          <w:tab w:val="left" w:pos="1276"/>
          <w:tab w:val="left" w:pos="15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 xml:space="preserve">9.8 - Федеральный закон от 27.11.2010 </w:t>
      </w:r>
      <w:r>
        <w:rPr>
          <w:rFonts w:ascii="Arial" w:hAnsi="Arial" w:cs="Arial"/>
          <w:sz w:val="22"/>
          <w:szCs w:val="22"/>
          <w:lang w:val="en-US" w:eastAsia="zh-CN"/>
        </w:rPr>
        <w:t>N</w:t>
      </w:r>
      <w:r>
        <w:rPr>
          <w:rFonts w:ascii="Arial" w:hAnsi="Arial" w:cs="Arial"/>
          <w:sz w:val="22"/>
          <w:szCs w:val="22"/>
          <w:lang w:eastAsia="zh-CN"/>
        </w:rPr>
        <w:t xml:space="preserve"> 311-ФЗ "О таможенном регулировании в Российской Федерации".</w:t>
      </w:r>
    </w:p>
    <w:p w14:paraId="3B2501CA">
      <w:pPr>
        <w:widowControl w:val="0"/>
        <w:tabs>
          <w:tab w:val="left" w:pos="567"/>
          <w:tab w:val="left" w:pos="1276"/>
          <w:tab w:val="left" w:pos="15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zh-CN"/>
        </w:rPr>
        <w:t xml:space="preserve">9.9 -  </w:t>
      </w:r>
      <w:r>
        <w:rPr>
          <w:rFonts w:ascii="Arial" w:hAnsi="Arial" w:cs="Arial"/>
          <w:sz w:val="22"/>
          <w:szCs w:val="22"/>
        </w:rPr>
        <w:t xml:space="preserve">Постановление Правительства РФ от 23.12.2021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 </w:t>
      </w:r>
    </w:p>
    <w:p w14:paraId="2B194AF3">
      <w:pPr>
        <w:pStyle w:val="64"/>
        <w:widowControl w:val="0"/>
        <w:numPr>
          <w:ilvl w:val="1"/>
          <w:numId w:val="6"/>
        </w:numPr>
        <w:tabs>
          <w:tab w:val="left" w:pos="567"/>
          <w:tab w:val="left" w:pos="1276"/>
          <w:tab w:val="left" w:pos="15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>- Гражданский кодекс Российской Федерации.</w:t>
      </w:r>
    </w:p>
    <w:p w14:paraId="2EDD001E">
      <w:pPr>
        <w:pStyle w:val="31"/>
        <w:numPr>
          <w:ilvl w:val="1"/>
          <w:numId w:val="6"/>
        </w:numPr>
        <w:spacing w:before="0" w:beforeAutospacing="0" w:after="0" w:afterAutospacing="0" w:line="288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Постановление Правительства РФ от 01.04.2022 N 552 "Об утверждении особенностей обращения, включая особенности государственной регистрации,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характера" </w:t>
      </w:r>
    </w:p>
    <w:p w14:paraId="09CDC33A">
      <w:pPr>
        <w:pStyle w:val="64"/>
        <w:widowControl w:val="0"/>
        <w:tabs>
          <w:tab w:val="left" w:pos="567"/>
          <w:tab w:val="left" w:pos="1276"/>
          <w:tab w:val="left" w:pos="1560"/>
        </w:tabs>
        <w:autoSpaceDE w:val="0"/>
        <w:autoSpaceDN w:val="0"/>
        <w:adjustRightInd w:val="0"/>
        <w:ind w:left="420"/>
        <w:rPr>
          <w:rFonts w:ascii="Arial" w:hAnsi="Arial" w:cs="Arial"/>
          <w:sz w:val="22"/>
          <w:szCs w:val="22"/>
          <w:lang w:eastAsia="zh-CN"/>
        </w:rPr>
      </w:pPr>
    </w:p>
    <w:p w14:paraId="4E8EC469">
      <w:pPr>
        <w:widowControl w:val="0"/>
        <w:tabs>
          <w:tab w:val="left" w:pos="567"/>
          <w:tab w:val="left" w:pos="1276"/>
          <w:tab w:val="left" w:pos="156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</w:p>
    <w:p w14:paraId="5E4AA98D">
      <w:pPr>
        <w:pStyle w:val="64"/>
        <w:numPr>
          <w:ilvl w:val="0"/>
          <w:numId w:val="4"/>
        </w:numPr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 xml:space="preserve"> Описание объекта закупки (согласно Приложению №1 Спецификация, являющемся неотъемлемой частью настоящего Технического задания.)</w:t>
      </w:r>
    </w:p>
    <w:p w14:paraId="78AD8102">
      <w:pPr>
        <w:pStyle w:val="64"/>
        <w:tabs>
          <w:tab w:val="left" w:pos="567"/>
        </w:tabs>
        <w:spacing w:after="200"/>
        <w:ind w:left="862"/>
        <w:contextualSpacing/>
        <w:rPr>
          <w:rFonts w:ascii="Arial" w:hAnsi="Arial" w:cs="Arial"/>
          <w:b/>
          <w:sz w:val="22"/>
          <w:szCs w:val="22"/>
          <w:highlight w:val="yellow"/>
          <w:lang w:eastAsia="zh-CN"/>
        </w:rPr>
      </w:pPr>
    </w:p>
    <w:sectPr>
      <w:headerReference r:id="rId3" w:type="default"/>
      <w:footerReference r:id="rId4" w:type="default"/>
      <w:footnotePr>
        <w:numRestart w:val="eachPage"/>
      </w:footnotePr>
      <w:pgSz w:w="11906" w:h="16838"/>
      <w:pgMar w:top="567" w:right="567" w:bottom="567" w:left="1134" w:header="720" w:footer="720" w:gutter="0"/>
      <w:cols w:space="720" w:num="1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OpenSymbol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53572964"/>
      <w:docPartObj>
        <w:docPartGallery w:val="autotext"/>
      </w:docPartObj>
    </w:sdtPr>
    <w:sdtContent>
      <w:p w14:paraId="0844A180">
        <w:pPr>
          <w:pStyle w:val="29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119F29B3">
    <w:pPr>
      <w:pStyle w:val="2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038574">
    <w:pPr>
      <w:pStyle w:val="22"/>
    </w:pPr>
  </w:p>
  <w:p w14:paraId="7E236BA2">
    <w:pPr>
      <w:pStyle w:val="2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25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>
    <w:nsid w:val="15191C62"/>
    <w:multiLevelType w:val="multilevel"/>
    <w:tmpl w:val="15191C62"/>
    <w:lvl w:ilvl="0" w:tentative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entative="0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 w:tentative="0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 w:tentative="0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 w:tentative="0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 w:tentative="0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 w:tentative="0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 w:tentative="0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 w:tentative="0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3">
    <w:nsid w:val="1E571AD9"/>
    <w:multiLevelType w:val="multilevel"/>
    <w:tmpl w:val="1E571AD9"/>
    <w:lvl w:ilvl="0" w:tentative="0">
      <w:start w:val="1"/>
      <w:numFmt w:val="decimal"/>
      <w:pStyle w:val="72"/>
      <w:lvlText w:val="%1."/>
      <w:lvlJc w:val="center"/>
      <w:pPr>
        <w:tabs>
          <w:tab w:val="left" w:pos="0"/>
        </w:tabs>
        <w:ind w:left="0" w:firstLine="0"/>
      </w:pPr>
      <w:rPr>
        <w:rFonts w:hint="default"/>
        <w:b/>
        <w:i w:val="0"/>
      </w:rPr>
    </w:lvl>
    <w:lvl w:ilvl="1" w:tentative="0">
      <w:start w:val="1"/>
      <w:numFmt w:val="decimal"/>
      <w:pStyle w:val="73"/>
      <w:lvlText w:val="%1.%2"/>
      <w:lvlJc w:val="left"/>
      <w:pPr>
        <w:tabs>
          <w:tab w:val="left" w:pos="851"/>
        </w:tabs>
        <w:ind w:left="851" w:hanging="851"/>
      </w:pPr>
      <w:rPr>
        <w:rFonts w:hint="default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 w:tentative="0">
      <w:start w:val="1"/>
      <w:numFmt w:val="decimal"/>
      <w:pStyle w:val="74"/>
      <w:lvlText w:val="%1.%2.%3"/>
      <w:lvlJc w:val="left"/>
      <w:pPr>
        <w:tabs>
          <w:tab w:val="left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 w:tentative="0">
      <w:start w:val="1"/>
      <w:numFmt w:val="lowerLetter"/>
      <w:pStyle w:val="75"/>
      <w:lvlText w:val="%4)"/>
      <w:lvlJc w:val="left"/>
      <w:pPr>
        <w:tabs>
          <w:tab w:val="left" w:pos="1418"/>
        </w:tabs>
        <w:ind w:left="1418" w:hanging="567"/>
      </w:pPr>
      <w:rPr>
        <w:rFonts w:hint="default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1134"/>
        </w:tabs>
        <w:ind w:left="1134" w:hanging="567"/>
      </w:pPr>
      <w:rPr>
        <w:rFonts w:hint="default"/>
      </w:rPr>
    </w:lvl>
    <w:lvl w:ilvl="5" w:tentative="0">
      <w:start w:val="1"/>
      <w:numFmt w:val="bullet"/>
      <w:lvlText w:val=""/>
      <w:lvlJc w:val="left"/>
      <w:pPr>
        <w:tabs>
          <w:tab w:val="left" w:pos="1701"/>
        </w:tabs>
        <w:ind w:left="1701" w:hanging="567"/>
      </w:pPr>
      <w:rPr>
        <w:rFonts w:hint="default" w:ascii="Symbol" w:hAnsi="Symbol"/>
      </w:rPr>
    </w:lvl>
    <w:lvl w:ilvl="6" w:tentative="0">
      <w:start w:val="1"/>
      <w:numFmt w:val="lowerLetter"/>
      <w:lvlText w:val="%5%6%7)"/>
      <w:lvlJc w:val="left"/>
      <w:pPr>
        <w:tabs>
          <w:tab w:val="left" w:pos="2268"/>
        </w:tabs>
        <w:ind w:left="2268" w:hanging="567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3978"/>
        </w:tabs>
        <w:ind w:left="2322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4698"/>
        </w:tabs>
        <w:ind w:left="2898" w:hanging="1440"/>
      </w:pPr>
      <w:rPr>
        <w:rFonts w:hint="default"/>
      </w:rPr>
    </w:lvl>
  </w:abstractNum>
  <w:abstractNum w:abstractNumId="4">
    <w:nsid w:val="2B476FA5"/>
    <w:multiLevelType w:val="multilevel"/>
    <w:tmpl w:val="2B476FA5"/>
    <w:lvl w:ilvl="0" w:tentative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0613048"/>
    <w:multiLevelType w:val="multilevel"/>
    <w:tmpl w:val="30613048"/>
    <w:lvl w:ilvl="0" w:tentative="0">
      <w:start w:val="1"/>
      <w:numFmt w:val="bullet"/>
      <w:lvlText w:val=""/>
      <w:lvlJc w:val="left"/>
      <w:pPr>
        <w:ind w:left="862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22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82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200"/>
  <w:displayHorizontalDrawingGridEvery w:val="2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EFA"/>
    <w:rsid w:val="00012597"/>
    <w:rsid w:val="00021EBF"/>
    <w:rsid w:val="000352DD"/>
    <w:rsid w:val="000502DA"/>
    <w:rsid w:val="00056814"/>
    <w:rsid w:val="00063DC6"/>
    <w:rsid w:val="00077B02"/>
    <w:rsid w:val="00084053"/>
    <w:rsid w:val="000A2940"/>
    <w:rsid w:val="000A62C6"/>
    <w:rsid w:val="000D2832"/>
    <w:rsid w:val="000E7E16"/>
    <w:rsid w:val="001313ED"/>
    <w:rsid w:val="001437C0"/>
    <w:rsid w:val="00171966"/>
    <w:rsid w:val="00173441"/>
    <w:rsid w:val="001815C1"/>
    <w:rsid w:val="001849AF"/>
    <w:rsid w:val="001A417F"/>
    <w:rsid w:val="001B7184"/>
    <w:rsid w:val="00204112"/>
    <w:rsid w:val="002717DD"/>
    <w:rsid w:val="00275D71"/>
    <w:rsid w:val="002865E2"/>
    <w:rsid w:val="00287BEE"/>
    <w:rsid w:val="002958C0"/>
    <w:rsid w:val="002A4A08"/>
    <w:rsid w:val="002D001F"/>
    <w:rsid w:val="002D6092"/>
    <w:rsid w:val="002D7445"/>
    <w:rsid w:val="002E2589"/>
    <w:rsid w:val="002F3CE4"/>
    <w:rsid w:val="002F676F"/>
    <w:rsid w:val="00316703"/>
    <w:rsid w:val="00324315"/>
    <w:rsid w:val="0033716E"/>
    <w:rsid w:val="00342E3C"/>
    <w:rsid w:val="003564AA"/>
    <w:rsid w:val="00376FDD"/>
    <w:rsid w:val="003B0213"/>
    <w:rsid w:val="003C2044"/>
    <w:rsid w:val="003C7605"/>
    <w:rsid w:val="003F4F51"/>
    <w:rsid w:val="004062AB"/>
    <w:rsid w:val="00410753"/>
    <w:rsid w:val="004154E5"/>
    <w:rsid w:val="00422B4B"/>
    <w:rsid w:val="00433B72"/>
    <w:rsid w:val="00434105"/>
    <w:rsid w:val="0044198C"/>
    <w:rsid w:val="00462471"/>
    <w:rsid w:val="00463739"/>
    <w:rsid w:val="004A4924"/>
    <w:rsid w:val="004B197F"/>
    <w:rsid w:val="004B34E0"/>
    <w:rsid w:val="004C115C"/>
    <w:rsid w:val="004D536D"/>
    <w:rsid w:val="004E1C82"/>
    <w:rsid w:val="004E3EFA"/>
    <w:rsid w:val="004E421F"/>
    <w:rsid w:val="005017CD"/>
    <w:rsid w:val="00503D18"/>
    <w:rsid w:val="00541664"/>
    <w:rsid w:val="00544621"/>
    <w:rsid w:val="00552D29"/>
    <w:rsid w:val="00561542"/>
    <w:rsid w:val="00561AC5"/>
    <w:rsid w:val="0058115C"/>
    <w:rsid w:val="00581896"/>
    <w:rsid w:val="00582B66"/>
    <w:rsid w:val="0059069C"/>
    <w:rsid w:val="005D3534"/>
    <w:rsid w:val="005E05E6"/>
    <w:rsid w:val="005E1F69"/>
    <w:rsid w:val="00605C74"/>
    <w:rsid w:val="006206D8"/>
    <w:rsid w:val="0066056B"/>
    <w:rsid w:val="006A0FA3"/>
    <w:rsid w:val="006C189A"/>
    <w:rsid w:val="006C72E5"/>
    <w:rsid w:val="006D1AD8"/>
    <w:rsid w:val="0073147C"/>
    <w:rsid w:val="00747252"/>
    <w:rsid w:val="007645C3"/>
    <w:rsid w:val="00772F40"/>
    <w:rsid w:val="00783EE0"/>
    <w:rsid w:val="00792C3B"/>
    <w:rsid w:val="007C23DD"/>
    <w:rsid w:val="007C623E"/>
    <w:rsid w:val="007D2557"/>
    <w:rsid w:val="007E6DFD"/>
    <w:rsid w:val="008577F9"/>
    <w:rsid w:val="00885C46"/>
    <w:rsid w:val="008D74F4"/>
    <w:rsid w:val="008F3FEB"/>
    <w:rsid w:val="008F4E5D"/>
    <w:rsid w:val="00955736"/>
    <w:rsid w:val="00956C5A"/>
    <w:rsid w:val="00967116"/>
    <w:rsid w:val="009A722E"/>
    <w:rsid w:val="009B396F"/>
    <w:rsid w:val="009B3B97"/>
    <w:rsid w:val="009D06BE"/>
    <w:rsid w:val="00A00388"/>
    <w:rsid w:val="00A24861"/>
    <w:rsid w:val="00A252BD"/>
    <w:rsid w:val="00A47869"/>
    <w:rsid w:val="00A55B33"/>
    <w:rsid w:val="00A56C23"/>
    <w:rsid w:val="00A67861"/>
    <w:rsid w:val="00A75299"/>
    <w:rsid w:val="00AA2042"/>
    <w:rsid w:val="00AC0A01"/>
    <w:rsid w:val="00AC3B33"/>
    <w:rsid w:val="00AD2127"/>
    <w:rsid w:val="00AF4734"/>
    <w:rsid w:val="00B02557"/>
    <w:rsid w:val="00B040ED"/>
    <w:rsid w:val="00B06AA4"/>
    <w:rsid w:val="00B31F0E"/>
    <w:rsid w:val="00B47241"/>
    <w:rsid w:val="00B64BE4"/>
    <w:rsid w:val="00B860AF"/>
    <w:rsid w:val="00B920A6"/>
    <w:rsid w:val="00BA0354"/>
    <w:rsid w:val="00BA11B7"/>
    <w:rsid w:val="00BB331C"/>
    <w:rsid w:val="00C05477"/>
    <w:rsid w:val="00C10918"/>
    <w:rsid w:val="00C254E9"/>
    <w:rsid w:val="00C35B8F"/>
    <w:rsid w:val="00C40047"/>
    <w:rsid w:val="00C42922"/>
    <w:rsid w:val="00C558A5"/>
    <w:rsid w:val="00CA5790"/>
    <w:rsid w:val="00CA75F6"/>
    <w:rsid w:val="00CB385D"/>
    <w:rsid w:val="00CB3D7C"/>
    <w:rsid w:val="00CC0BE7"/>
    <w:rsid w:val="00CD7D25"/>
    <w:rsid w:val="00CF2E1B"/>
    <w:rsid w:val="00CF46E3"/>
    <w:rsid w:val="00D00DBE"/>
    <w:rsid w:val="00D205AB"/>
    <w:rsid w:val="00D41963"/>
    <w:rsid w:val="00D43D9E"/>
    <w:rsid w:val="00D651B4"/>
    <w:rsid w:val="00D84B12"/>
    <w:rsid w:val="00D92182"/>
    <w:rsid w:val="00D9609A"/>
    <w:rsid w:val="00DA2B7C"/>
    <w:rsid w:val="00DB3334"/>
    <w:rsid w:val="00DC0F23"/>
    <w:rsid w:val="00DE655B"/>
    <w:rsid w:val="00E05DD6"/>
    <w:rsid w:val="00E06357"/>
    <w:rsid w:val="00E10FC9"/>
    <w:rsid w:val="00E55C8B"/>
    <w:rsid w:val="00E5767A"/>
    <w:rsid w:val="00E7634E"/>
    <w:rsid w:val="00E8352B"/>
    <w:rsid w:val="00EE182D"/>
    <w:rsid w:val="00EE75A6"/>
    <w:rsid w:val="00EF59A1"/>
    <w:rsid w:val="00F04338"/>
    <w:rsid w:val="00F43E54"/>
    <w:rsid w:val="00F57B0B"/>
    <w:rsid w:val="00FB7810"/>
    <w:rsid w:val="00FD6518"/>
    <w:rsid w:val="00FE0BF6"/>
    <w:rsid w:val="00FF57E4"/>
    <w:rsid w:val="05E74FF5"/>
    <w:rsid w:val="332F6747"/>
    <w:rsid w:val="3D0C3DC3"/>
    <w:rsid w:val="5AB51DDE"/>
    <w:rsid w:val="6112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0" w:semiHidden="0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semiHidden="0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nhideWhenUsed="0" w:uiPriority="0" w:name="endnote reference"/>
    <w:lsdException w:uiPriority="0" w:name="endnote text"/>
    <w:lsdException w:uiPriority="99" w:name="table of authorities"/>
    <w:lsdException w:uiPriority="99" w:name="macro"/>
    <w:lsdException w:uiPriority="99" w:name="toa heading"/>
    <w:lsdException w:unhideWhenUsed="0" w:uiPriority="99" w:semiHidden="0" w:name="List"/>
    <w:lsdException w:qFormat="1" w:unhideWhenUsed="0" w:uiPriority="0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nhideWhenUsed="0" w:uiPriority="99" w:semiHidden="0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jc w:val="left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2"/>
    <w:basedOn w:val="1"/>
    <w:next w:val="1"/>
    <w:link w:val="35"/>
    <w:qFormat/>
    <w:uiPriority w:val="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36"/>
    <w:qFormat/>
    <w:uiPriority w:val="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9"/>
    <w:basedOn w:val="1"/>
    <w:next w:val="1"/>
    <w:link w:val="37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qFormat/>
    <w:uiPriority w:val="99"/>
    <w:rPr>
      <w:color w:val="800000"/>
      <w:u w:val="single"/>
    </w:rPr>
  </w:style>
  <w:style w:type="character" w:styleId="9">
    <w:name w:val="footnote reference"/>
    <w:unhideWhenUsed/>
    <w:qFormat/>
    <w:uiPriority w:val="0"/>
    <w:rPr>
      <w:vertAlign w:val="superscript"/>
    </w:rPr>
  </w:style>
  <w:style w:type="character" w:styleId="10">
    <w:name w:val="annotation reference"/>
    <w:basedOn w:val="6"/>
    <w:semiHidden/>
    <w:unhideWhenUsed/>
    <w:uiPriority w:val="99"/>
    <w:rPr>
      <w:sz w:val="16"/>
      <w:szCs w:val="16"/>
    </w:rPr>
  </w:style>
  <w:style w:type="character" w:styleId="11">
    <w:name w:val="endnote reference"/>
    <w:semiHidden/>
    <w:uiPriority w:val="0"/>
    <w:rPr>
      <w:vertAlign w:val="superscript"/>
    </w:rPr>
  </w:style>
  <w:style w:type="character" w:styleId="12">
    <w:name w:val="Hyperlink"/>
    <w:uiPriority w:val="99"/>
    <w:rPr>
      <w:color w:val="0000FF"/>
      <w:u w:val="single"/>
    </w:rPr>
  </w:style>
  <w:style w:type="character" w:styleId="13">
    <w:name w:val="page number"/>
    <w:basedOn w:val="14"/>
    <w:uiPriority w:val="0"/>
  </w:style>
  <w:style w:type="character" w:customStyle="1" w:styleId="14">
    <w:name w:val="Основной шрифт абзаца1"/>
    <w:uiPriority w:val="0"/>
  </w:style>
  <w:style w:type="character" w:styleId="15">
    <w:name w:val="Strong"/>
    <w:qFormat/>
    <w:uiPriority w:val="22"/>
    <w:rPr>
      <w:b/>
      <w:bCs/>
    </w:rPr>
  </w:style>
  <w:style w:type="paragraph" w:styleId="16">
    <w:name w:val="Balloon Text"/>
    <w:basedOn w:val="1"/>
    <w:link w:val="56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17">
    <w:name w:val="Body Text 2"/>
    <w:basedOn w:val="1"/>
    <w:link w:val="78"/>
    <w:qFormat/>
    <w:uiPriority w:val="0"/>
    <w:pPr>
      <w:keepLines/>
      <w:suppressAutoHyphens w:val="0"/>
      <w:spacing w:before="120" w:after="80"/>
      <w:jc w:val="both"/>
    </w:pPr>
    <w:rPr>
      <w:szCs w:val="20"/>
    </w:rPr>
  </w:style>
  <w:style w:type="paragraph" w:styleId="18">
    <w:name w:val="endnote text"/>
    <w:basedOn w:val="1"/>
    <w:link w:val="67"/>
    <w:semiHidden/>
    <w:unhideWhenUsed/>
    <w:uiPriority w:val="0"/>
    <w:rPr>
      <w:sz w:val="20"/>
      <w:szCs w:val="20"/>
    </w:rPr>
  </w:style>
  <w:style w:type="paragraph" w:styleId="19">
    <w:name w:val="annotation text"/>
    <w:basedOn w:val="1"/>
    <w:link w:val="60"/>
    <w:semiHidden/>
    <w:unhideWhenUsed/>
    <w:qFormat/>
    <w:uiPriority w:val="99"/>
    <w:rPr>
      <w:sz w:val="20"/>
      <w:szCs w:val="20"/>
    </w:rPr>
  </w:style>
  <w:style w:type="paragraph" w:styleId="20">
    <w:name w:val="annotation subject"/>
    <w:basedOn w:val="19"/>
    <w:next w:val="19"/>
    <w:link w:val="61"/>
    <w:semiHidden/>
    <w:unhideWhenUsed/>
    <w:uiPriority w:val="99"/>
    <w:rPr>
      <w:b/>
      <w:bCs/>
    </w:rPr>
  </w:style>
  <w:style w:type="paragraph" w:styleId="21">
    <w:name w:val="footnote text"/>
    <w:basedOn w:val="1"/>
    <w:link w:val="57"/>
    <w:unhideWhenUsed/>
    <w:uiPriority w:val="0"/>
    <w:rPr>
      <w:sz w:val="20"/>
      <w:szCs w:val="20"/>
    </w:rPr>
  </w:style>
  <w:style w:type="paragraph" w:styleId="22">
    <w:name w:val="header"/>
    <w:basedOn w:val="1"/>
    <w:link w:val="48"/>
    <w:qFormat/>
    <w:uiPriority w:val="99"/>
    <w:pPr>
      <w:tabs>
        <w:tab w:val="center" w:pos="4677"/>
        <w:tab w:val="right" w:pos="9355"/>
      </w:tabs>
    </w:pPr>
  </w:style>
  <w:style w:type="paragraph" w:styleId="23">
    <w:name w:val="Body Text"/>
    <w:basedOn w:val="1"/>
    <w:link w:val="41"/>
    <w:qFormat/>
    <w:uiPriority w:val="0"/>
  </w:style>
  <w:style w:type="paragraph" w:styleId="24">
    <w:name w:val="Body Text First Indent"/>
    <w:basedOn w:val="23"/>
    <w:link w:val="52"/>
    <w:uiPriority w:val="99"/>
    <w:pPr>
      <w:ind w:firstLine="283"/>
    </w:pPr>
  </w:style>
  <w:style w:type="paragraph" w:styleId="25">
    <w:name w:val="List Bullet"/>
    <w:basedOn w:val="1"/>
    <w:autoRedefine/>
    <w:qFormat/>
    <w:uiPriority w:val="0"/>
    <w:pPr>
      <w:numPr>
        <w:ilvl w:val="0"/>
        <w:numId w:val="2"/>
      </w:numPr>
      <w:suppressAutoHyphens w:val="0"/>
      <w:spacing w:after="80"/>
      <w:jc w:val="center"/>
    </w:pPr>
    <w:rPr>
      <w:b/>
      <w:sz w:val="20"/>
      <w:szCs w:val="20"/>
      <w:lang w:eastAsia="ru-RU"/>
    </w:rPr>
  </w:style>
  <w:style w:type="paragraph" w:styleId="26">
    <w:name w:val="Title"/>
    <w:basedOn w:val="27"/>
    <w:next w:val="28"/>
    <w:link w:val="43"/>
    <w:qFormat/>
    <w:uiPriority w:val="10"/>
  </w:style>
  <w:style w:type="paragraph" w:customStyle="1" w:styleId="27">
    <w:name w:val="Заголовок1"/>
    <w:basedOn w:val="1"/>
    <w:next w:val="23"/>
    <w:qFormat/>
    <w:uiPriority w:val="0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28">
    <w:name w:val="Subtitle"/>
    <w:basedOn w:val="27"/>
    <w:next w:val="23"/>
    <w:link w:val="42"/>
    <w:qFormat/>
    <w:uiPriority w:val="11"/>
    <w:pPr>
      <w:jc w:val="center"/>
    </w:pPr>
    <w:rPr>
      <w:i/>
      <w:iCs/>
    </w:rPr>
  </w:style>
  <w:style w:type="paragraph" w:styleId="29">
    <w:name w:val="footer"/>
    <w:basedOn w:val="1"/>
    <w:link w:val="47"/>
    <w:qFormat/>
    <w:uiPriority w:val="99"/>
    <w:pPr>
      <w:tabs>
        <w:tab w:val="center" w:pos="4677"/>
        <w:tab w:val="right" w:pos="9355"/>
      </w:tabs>
    </w:pPr>
  </w:style>
  <w:style w:type="paragraph" w:styleId="30">
    <w:name w:val="List"/>
    <w:basedOn w:val="23"/>
    <w:uiPriority w:val="99"/>
    <w:rPr>
      <w:rFonts w:cs="Tahoma"/>
    </w:rPr>
  </w:style>
  <w:style w:type="paragraph" w:styleId="31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32">
    <w:name w:val="Body Text 3"/>
    <w:basedOn w:val="1"/>
    <w:link w:val="80"/>
    <w:semiHidden/>
    <w:unhideWhenUsed/>
    <w:qFormat/>
    <w:uiPriority w:val="99"/>
    <w:pPr>
      <w:suppressAutoHyphens w:val="0"/>
      <w:spacing w:after="120"/>
    </w:pPr>
    <w:rPr>
      <w:sz w:val="16"/>
      <w:szCs w:val="16"/>
    </w:rPr>
  </w:style>
  <w:style w:type="table" w:styleId="33">
    <w:name w:val="Table Grid"/>
    <w:basedOn w:val="7"/>
    <w:qFormat/>
    <w:uiPriority w:val="39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4">
    <w:name w:val="Заголовок 1 Знак"/>
    <w:basedOn w:val="6"/>
    <w:link w:val="2"/>
    <w:qFormat/>
    <w:uiPriority w:val="9"/>
    <w:rPr>
      <w:rFonts w:ascii="Arial" w:hAnsi="Arial" w:eastAsia="Times New Roman" w:cs="Arial"/>
      <w:b/>
      <w:bCs/>
      <w:kern w:val="1"/>
      <w:sz w:val="32"/>
      <w:szCs w:val="32"/>
      <w:lang w:eastAsia="ar-SA"/>
    </w:rPr>
  </w:style>
  <w:style w:type="character" w:customStyle="1" w:styleId="35">
    <w:name w:val="Заголовок 2 Знак"/>
    <w:basedOn w:val="6"/>
    <w:link w:val="3"/>
    <w:uiPriority w:val="9"/>
    <w:rPr>
      <w:rFonts w:ascii="Arial" w:hAnsi="Arial" w:eastAsia="Times New Roman" w:cs="Arial"/>
      <w:b/>
      <w:bCs/>
      <w:i/>
      <w:iCs/>
      <w:lang w:eastAsia="ar-SA"/>
    </w:rPr>
  </w:style>
  <w:style w:type="character" w:customStyle="1" w:styleId="36">
    <w:name w:val="Заголовок 3 Знак"/>
    <w:basedOn w:val="6"/>
    <w:link w:val="4"/>
    <w:qFormat/>
    <w:uiPriority w:val="9"/>
    <w:rPr>
      <w:rFonts w:ascii="Arial" w:hAnsi="Arial" w:eastAsia="Times New Roman" w:cs="Arial"/>
      <w:b/>
      <w:bCs/>
      <w:sz w:val="26"/>
      <w:szCs w:val="26"/>
      <w:lang w:eastAsia="ar-SA"/>
    </w:rPr>
  </w:style>
  <w:style w:type="character" w:customStyle="1" w:styleId="37">
    <w:name w:val="Заголовок 9 Знак"/>
    <w:basedOn w:val="6"/>
    <w:link w:val="5"/>
    <w:uiPriority w:val="0"/>
    <w:rPr>
      <w:rFonts w:ascii="Arial" w:hAnsi="Arial" w:eastAsia="Times New Roman" w:cs="Arial"/>
      <w:sz w:val="22"/>
      <w:szCs w:val="22"/>
      <w:lang w:eastAsia="ar-SA"/>
    </w:rPr>
  </w:style>
  <w:style w:type="character" w:customStyle="1" w:styleId="38">
    <w:name w:val="publication"/>
    <w:uiPriority w:val="0"/>
    <w:rPr>
      <w:rFonts w:ascii="Arial" w:hAnsi="Arial" w:cs="Arial"/>
      <w:color w:val="FFFFFF"/>
      <w:sz w:val="22"/>
      <w:szCs w:val="22"/>
      <w:shd w:val="clear" w:color="auto" w:fill="000000"/>
      <w:lang w:val="en-US"/>
    </w:rPr>
  </w:style>
  <w:style w:type="character" w:customStyle="1" w:styleId="39">
    <w:name w:val="Символ нумерации"/>
    <w:qFormat/>
    <w:uiPriority w:val="0"/>
  </w:style>
  <w:style w:type="character" w:customStyle="1" w:styleId="40">
    <w:name w:val="Маркеры списка"/>
    <w:qFormat/>
    <w:uiPriority w:val="0"/>
    <w:rPr>
      <w:rFonts w:ascii="OpenSymbol" w:hAnsi="OpenSymbol" w:eastAsia="OpenSymbol" w:cs="OpenSymbol"/>
    </w:rPr>
  </w:style>
  <w:style w:type="character" w:customStyle="1" w:styleId="41">
    <w:name w:val="Основной текст Знак"/>
    <w:basedOn w:val="6"/>
    <w:link w:val="23"/>
    <w:qFormat/>
    <w:uiPriority w:val="0"/>
    <w:rPr>
      <w:rFonts w:eastAsia="Times New Roman"/>
      <w:sz w:val="24"/>
      <w:szCs w:val="24"/>
      <w:lang w:eastAsia="ar-SA"/>
    </w:rPr>
  </w:style>
  <w:style w:type="character" w:customStyle="1" w:styleId="42">
    <w:name w:val="Подзаголовок Знак"/>
    <w:basedOn w:val="6"/>
    <w:link w:val="28"/>
    <w:qFormat/>
    <w:uiPriority w:val="11"/>
    <w:rPr>
      <w:rFonts w:ascii="Arial" w:hAnsi="Arial" w:eastAsia="MS Mincho" w:cs="Tahoma"/>
      <w:i/>
      <w:iCs/>
      <w:lang w:eastAsia="ar-SA"/>
    </w:rPr>
  </w:style>
  <w:style w:type="character" w:customStyle="1" w:styleId="43">
    <w:name w:val="Заголовок Знак"/>
    <w:basedOn w:val="6"/>
    <w:link w:val="26"/>
    <w:qFormat/>
    <w:uiPriority w:val="10"/>
    <w:rPr>
      <w:rFonts w:ascii="Arial" w:hAnsi="Arial" w:eastAsia="MS Mincho" w:cs="Tahoma"/>
      <w:lang w:eastAsia="ar-SA"/>
    </w:rPr>
  </w:style>
  <w:style w:type="paragraph" w:customStyle="1" w:styleId="44">
    <w:name w:val="Название1"/>
    <w:basedOn w:val="1"/>
    <w:qFormat/>
    <w:uiPriority w:val="0"/>
    <w:pPr>
      <w:suppressLineNumbers/>
      <w:spacing w:before="120" w:after="120"/>
    </w:pPr>
    <w:rPr>
      <w:rFonts w:cs="Tahoma"/>
      <w:i/>
      <w:iCs/>
    </w:rPr>
  </w:style>
  <w:style w:type="paragraph" w:customStyle="1" w:styleId="45">
    <w:name w:val="Указатель1"/>
    <w:basedOn w:val="1"/>
    <w:qFormat/>
    <w:uiPriority w:val="0"/>
    <w:pPr>
      <w:suppressLineNumbers/>
    </w:pPr>
    <w:rPr>
      <w:rFonts w:cs="Tahoma"/>
    </w:rPr>
  </w:style>
  <w:style w:type="paragraph" w:customStyle="1" w:styleId="46">
    <w:name w:val="variable"/>
    <w:basedOn w:val="1"/>
    <w:uiPriority w:val="0"/>
    <w:rPr>
      <w:b/>
    </w:rPr>
  </w:style>
  <w:style w:type="character" w:customStyle="1" w:styleId="47">
    <w:name w:val="Нижний колонтитул Знак"/>
    <w:basedOn w:val="6"/>
    <w:link w:val="29"/>
    <w:qFormat/>
    <w:uiPriority w:val="99"/>
    <w:rPr>
      <w:rFonts w:eastAsia="Times New Roman"/>
      <w:sz w:val="24"/>
      <w:szCs w:val="24"/>
      <w:lang w:eastAsia="ar-SA"/>
    </w:rPr>
  </w:style>
  <w:style w:type="character" w:customStyle="1" w:styleId="48">
    <w:name w:val="Верхний колонтитул Знак"/>
    <w:basedOn w:val="6"/>
    <w:link w:val="22"/>
    <w:qFormat/>
    <w:uiPriority w:val="99"/>
    <w:rPr>
      <w:rFonts w:eastAsia="Times New Roman"/>
      <w:sz w:val="24"/>
      <w:szCs w:val="24"/>
      <w:lang w:eastAsia="ar-SA"/>
    </w:rPr>
  </w:style>
  <w:style w:type="paragraph" w:customStyle="1" w:styleId="49">
    <w:name w:val="Содержимое таблицы"/>
    <w:basedOn w:val="1"/>
    <w:qFormat/>
    <w:uiPriority w:val="0"/>
    <w:pPr>
      <w:suppressLineNumbers/>
    </w:pPr>
  </w:style>
  <w:style w:type="paragraph" w:customStyle="1" w:styleId="50">
    <w:name w:val="Заголовок таблицы"/>
    <w:basedOn w:val="49"/>
    <w:uiPriority w:val="0"/>
    <w:pPr>
      <w:jc w:val="center"/>
    </w:pPr>
    <w:rPr>
      <w:b/>
      <w:bCs/>
    </w:rPr>
  </w:style>
  <w:style w:type="paragraph" w:customStyle="1" w:styleId="51">
    <w:name w:val="Горизонтальная линия"/>
    <w:basedOn w:val="1"/>
    <w:next w:val="23"/>
    <w:uiPriority w:val="0"/>
    <w:pPr>
      <w:suppressLineNumbers/>
      <w:pBdr>
        <w:bottom w:val="double" w:color="808080" w:sz="2" w:space="0"/>
      </w:pBdr>
      <w:spacing w:after="283"/>
    </w:pPr>
    <w:rPr>
      <w:sz w:val="12"/>
      <w:szCs w:val="12"/>
    </w:rPr>
  </w:style>
  <w:style w:type="character" w:customStyle="1" w:styleId="52">
    <w:name w:val="Красная строка Знак"/>
    <w:basedOn w:val="41"/>
    <w:link w:val="24"/>
    <w:uiPriority w:val="99"/>
    <w:rPr>
      <w:rFonts w:eastAsia="Times New Roman"/>
      <w:sz w:val="24"/>
      <w:szCs w:val="24"/>
      <w:lang w:eastAsia="ar-SA"/>
    </w:rPr>
  </w:style>
  <w:style w:type="paragraph" w:customStyle="1" w:styleId="53">
    <w:name w:val="СОтступомПоЛевомуКраю"/>
    <w:basedOn w:val="1"/>
    <w:uiPriority w:val="0"/>
    <w:pPr>
      <w:ind w:firstLine="705"/>
    </w:pPr>
  </w:style>
  <w:style w:type="paragraph" w:customStyle="1" w:styleId="54">
    <w:name w:val="Содержимое врезки"/>
    <w:basedOn w:val="23"/>
    <w:uiPriority w:val="0"/>
  </w:style>
  <w:style w:type="paragraph" w:customStyle="1" w:styleId="55">
    <w:name w:val="Содержимое списка"/>
    <w:basedOn w:val="1"/>
    <w:qFormat/>
    <w:uiPriority w:val="0"/>
    <w:pPr>
      <w:ind w:left="567"/>
    </w:pPr>
  </w:style>
  <w:style w:type="character" w:customStyle="1" w:styleId="56">
    <w:name w:val="Текст выноски Знак"/>
    <w:basedOn w:val="6"/>
    <w:link w:val="16"/>
    <w:semiHidden/>
    <w:qFormat/>
    <w:uiPriority w:val="99"/>
    <w:rPr>
      <w:rFonts w:ascii="Segoe UI" w:hAnsi="Segoe UI" w:eastAsia="Times New Roman" w:cs="Segoe UI"/>
      <w:sz w:val="18"/>
      <w:szCs w:val="18"/>
      <w:lang w:eastAsia="ar-SA"/>
    </w:rPr>
  </w:style>
  <w:style w:type="character" w:customStyle="1" w:styleId="57">
    <w:name w:val="Текст сноски Знак"/>
    <w:basedOn w:val="6"/>
    <w:link w:val="21"/>
    <w:uiPriority w:val="0"/>
    <w:rPr>
      <w:rFonts w:eastAsia="Times New Roman"/>
      <w:sz w:val="20"/>
      <w:szCs w:val="20"/>
      <w:lang w:eastAsia="ar-SA"/>
    </w:rPr>
  </w:style>
  <w:style w:type="paragraph" w:customStyle="1" w:styleId="58">
    <w:name w:val="ConsPlusNormal"/>
    <w:link w:val="59"/>
    <w:qFormat/>
    <w:uiPriority w:val="0"/>
    <w:pPr>
      <w:widowControl w:val="0"/>
      <w:autoSpaceDE w:val="0"/>
      <w:autoSpaceDN w:val="0"/>
      <w:adjustRightInd w:val="0"/>
      <w:jc w:val="left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59">
    <w:name w:val="ConsPlusNormal Знак"/>
    <w:link w:val="58"/>
    <w:qFormat/>
    <w:locked/>
    <w:uiPriority w:val="0"/>
    <w:rPr>
      <w:rFonts w:ascii="Arial" w:hAnsi="Arial" w:eastAsia="Times New Roman" w:cs="Arial"/>
      <w:sz w:val="20"/>
      <w:szCs w:val="20"/>
      <w:lang w:eastAsia="ru-RU"/>
    </w:rPr>
  </w:style>
  <w:style w:type="character" w:customStyle="1" w:styleId="60">
    <w:name w:val="Текст примечания Знак"/>
    <w:basedOn w:val="6"/>
    <w:link w:val="19"/>
    <w:semiHidden/>
    <w:qFormat/>
    <w:uiPriority w:val="99"/>
    <w:rPr>
      <w:rFonts w:eastAsia="Times New Roman"/>
      <w:sz w:val="20"/>
      <w:szCs w:val="20"/>
      <w:lang w:eastAsia="ar-SA"/>
    </w:rPr>
  </w:style>
  <w:style w:type="character" w:customStyle="1" w:styleId="61">
    <w:name w:val="Тема примечания Знак"/>
    <w:basedOn w:val="60"/>
    <w:link w:val="20"/>
    <w:semiHidden/>
    <w:uiPriority w:val="99"/>
    <w:rPr>
      <w:rFonts w:eastAsia="Times New Roman"/>
      <w:b/>
      <w:bCs/>
      <w:sz w:val="20"/>
      <w:szCs w:val="20"/>
      <w:lang w:eastAsia="ar-SA"/>
    </w:rPr>
  </w:style>
  <w:style w:type="paragraph" w:customStyle="1" w:styleId="62">
    <w:name w:val="Цитата 21"/>
    <w:basedOn w:val="1"/>
    <w:next w:val="1"/>
    <w:link w:val="63"/>
    <w:uiPriority w:val="0"/>
    <w:pPr>
      <w:suppressAutoHyphens w:val="0"/>
      <w:jc w:val="both"/>
    </w:pPr>
    <w:rPr>
      <w:rFonts w:ascii="Calibri" w:hAnsi="Calibri"/>
      <w:i/>
    </w:rPr>
  </w:style>
  <w:style w:type="character" w:customStyle="1" w:styleId="63">
    <w:name w:val="Quote Char"/>
    <w:link w:val="62"/>
    <w:qFormat/>
    <w:uiPriority w:val="0"/>
    <w:rPr>
      <w:rFonts w:ascii="Calibri" w:hAnsi="Calibri" w:eastAsia="Times New Roman"/>
      <w:i/>
      <w:sz w:val="24"/>
      <w:szCs w:val="24"/>
      <w:lang w:eastAsia="ar-SA"/>
    </w:rPr>
  </w:style>
  <w:style w:type="paragraph" w:styleId="64">
    <w:name w:val="List Paragraph"/>
    <w:basedOn w:val="1"/>
    <w:link w:val="65"/>
    <w:qFormat/>
    <w:uiPriority w:val="34"/>
    <w:pPr>
      <w:suppressAutoHyphens w:val="0"/>
      <w:ind w:left="708"/>
      <w:jc w:val="both"/>
    </w:pPr>
    <w:rPr>
      <w:lang w:eastAsia="en-US"/>
    </w:rPr>
  </w:style>
  <w:style w:type="character" w:customStyle="1" w:styleId="65">
    <w:name w:val="Абзац списка Знак"/>
    <w:link w:val="64"/>
    <w:qFormat/>
    <w:uiPriority w:val="34"/>
    <w:rPr>
      <w:rFonts w:eastAsia="Times New Roman"/>
      <w:sz w:val="24"/>
      <w:szCs w:val="24"/>
    </w:rPr>
  </w:style>
  <w:style w:type="paragraph" w:customStyle="1" w:styleId="66">
    <w:name w:val="ConsNonformat"/>
    <w:uiPriority w:val="0"/>
    <w:pPr>
      <w:autoSpaceDE w:val="0"/>
      <w:autoSpaceDN w:val="0"/>
      <w:adjustRightInd w:val="0"/>
      <w:jc w:val="left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67">
    <w:name w:val="Текст концевой сноски Знак"/>
    <w:basedOn w:val="6"/>
    <w:link w:val="18"/>
    <w:semiHidden/>
    <w:uiPriority w:val="0"/>
    <w:rPr>
      <w:rFonts w:eastAsia="Times New Roman"/>
      <w:sz w:val="20"/>
      <w:szCs w:val="20"/>
      <w:lang w:eastAsia="ar-SA"/>
    </w:rPr>
  </w:style>
  <w:style w:type="paragraph" w:customStyle="1" w:styleId="68">
    <w:name w:val="228bf8a64b8551e1msonormal"/>
    <w:basedOn w:val="1"/>
    <w:uiPriority w:val="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69">
    <w:name w:val="wmi-callto"/>
    <w:basedOn w:val="6"/>
    <w:uiPriority w:val="0"/>
  </w:style>
  <w:style w:type="character" w:customStyle="1" w:styleId="70">
    <w:name w:val="js-extracted-address"/>
    <w:basedOn w:val="6"/>
    <w:uiPriority w:val="0"/>
  </w:style>
  <w:style w:type="character" w:customStyle="1" w:styleId="71">
    <w:name w:val="mail-message-map-nobreak"/>
    <w:basedOn w:val="6"/>
    <w:uiPriority w:val="0"/>
  </w:style>
  <w:style w:type="paragraph" w:customStyle="1" w:styleId="72">
    <w:name w:val="Контракт-раздел"/>
    <w:basedOn w:val="1"/>
    <w:next w:val="73"/>
    <w:qFormat/>
    <w:uiPriority w:val="0"/>
    <w:pPr>
      <w:keepNext/>
      <w:numPr>
        <w:ilvl w:val="0"/>
        <w:numId w:val="3"/>
      </w:numPr>
      <w:tabs>
        <w:tab w:val="left" w:pos="540"/>
      </w:tabs>
      <w:spacing w:before="360" w:after="120"/>
      <w:jc w:val="center"/>
      <w:outlineLvl w:val="3"/>
    </w:pPr>
    <w:rPr>
      <w:b/>
      <w:bCs/>
      <w:caps/>
      <w:smallCaps/>
      <w:lang w:eastAsia="ru-RU"/>
    </w:rPr>
  </w:style>
  <w:style w:type="paragraph" w:customStyle="1" w:styleId="73">
    <w:name w:val="Контракт-пункт"/>
    <w:basedOn w:val="1"/>
    <w:qFormat/>
    <w:uiPriority w:val="0"/>
    <w:pPr>
      <w:numPr>
        <w:ilvl w:val="1"/>
        <w:numId w:val="3"/>
      </w:numPr>
      <w:suppressAutoHyphens w:val="0"/>
      <w:jc w:val="both"/>
    </w:pPr>
    <w:rPr>
      <w:lang w:eastAsia="ru-RU"/>
    </w:rPr>
  </w:style>
  <w:style w:type="paragraph" w:customStyle="1" w:styleId="74">
    <w:name w:val="Контракт-подпункт"/>
    <w:basedOn w:val="1"/>
    <w:qFormat/>
    <w:uiPriority w:val="0"/>
    <w:pPr>
      <w:numPr>
        <w:ilvl w:val="2"/>
        <w:numId w:val="3"/>
      </w:numPr>
      <w:suppressAutoHyphens w:val="0"/>
      <w:jc w:val="both"/>
    </w:pPr>
    <w:rPr>
      <w:lang w:eastAsia="ru-RU"/>
    </w:rPr>
  </w:style>
  <w:style w:type="paragraph" w:customStyle="1" w:styleId="75">
    <w:name w:val="Контракт-подподпункт"/>
    <w:basedOn w:val="1"/>
    <w:qFormat/>
    <w:uiPriority w:val="0"/>
    <w:pPr>
      <w:numPr>
        <w:ilvl w:val="3"/>
        <w:numId w:val="3"/>
      </w:numPr>
      <w:suppressAutoHyphens w:val="0"/>
      <w:jc w:val="both"/>
    </w:pPr>
    <w:rPr>
      <w:lang w:eastAsia="ru-RU"/>
    </w:rPr>
  </w:style>
  <w:style w:type="paragraph" w:customStyle="1" w:styleId="76">
    <w:name w:val="Пункт б/н"/>
    <w:basedOn w:val="1"/>
    <w:semiHidden/>
    <w:qFormat/>
    <w:uiPriority w:val="0"/>
    <w:pPr>
      <w:tabs>
        <w:tab w:val="left" w:pos="1134"/>
      </w:tabs>
      <w:suppressAutoHyphens w:val="0"/>
      <w:ind w:firstLine="567"/>
      <w:jc w:val="both"/>
    </w:pPr>
    <w:rPr>
      <w:lang w:eastAsia="ru-RU"/>
    </w:rPr>
  </w:style>
  <w:style w:type="paragraph" w:customStyle="1" w:styleId="77">
    <w:name w:val="Основной текст 21"/>
    <w:basedOn w:val="1"/>
    <w:qFormat/>
    <w:uiPriority w:val="0"/>
    <w:pPr>
      <w:widowControl w:val="0"/>
      <w:suppressAutoHyphens w:val="0"/>
      <w:spacing w:after="80"/>
      <w:jc w:val="both"/>
    </w:pPr>
    <w:rPr>
      <w:rFonts w:cs="Arial"/>
      <w:szCs w:val="18"/>
      <w:lang w:eastAsia="ru-RU"/>
    </w:rPr>
  </w:style>
  <w:style w:type="character" w:customStyle="1" w:styleId="78">
    <w:name w:val="Основной текст 2 Знак"/>
    <w:basedOn w:val="6"/>
    <w:link w:val="17"/>
    <w:qFormat/>
    <w:uiPriority w:val="0"/>
    <w:rPr>
      <w:rFonts w:eastAsia="Times New Roman"/>
      <w:sz w:val="24"/>
      <w:szCs w:val="20"/>
    </w:rPr>
  </w:style>
  <w:style w:type="paragraph" w:customStyle="1" w:styleId="79">
    <w:name w:val="Стиль16"/>
    <w:basedOn w:val="32"/>
    <w:qFormat/>
    <w:uiPriority w:val="0"/>
    <w:pPr>
      <w:tabs>
        <w:tab w:val="left" w:pos="567"/>
      </w:tabs>
      <w:spacing w:after="0"/>
      <w:jc w:val="both"/>
    </w:pPr>
    <w:rPr>
      <w:b/>
      <w:sz w:val="20"/>
      <w:szCs w:val="20"/>
    </w:rPr>
  </w:style>
  <w:style w:type="character" w:customStyle="1" w:styleId="80">
    <w:name w:val="Основной текст 3 Знак"/>
    <w:basedOn w:val="6"/>
    <w:link w:val="32"/>
    <w:semiHidden/>
    <w:qFormat/>
    <w:uiPriority w:val="99"/>
    <w:rPr>
      <w:rFonts w:eastAsia="Times New Roman"/>
      <w:sz w:val="16"/>
      <w:szCs w:val="16"/>
    </w:rPr>
  </w:style>
  <w:style w:type="paragraph" w:customStyle="1" w:styleId="81">
    <w:name w:val="Стиль17"/>
    <w:basedOn w:val="28"/>
    <w:qFormat/>
    <w:uiPriority w:val="0"/>
    <w:pPr>
      <w:keepNext w:val="0"/>
      <w:suppressAutoHyphens w:val="0"/>
      <w:spacing w:before="0" w:after="60"/>
      <w:jc w:val="left"/>
      <w:outlineLvl w:val="1"/>
    </w:pPr>
    <w:rPr>
      <w:rFonts w:ascii="Times New Roman" w:hAnsi="Times New Roman" w:eastAsia="Times New Roman" w:cs="Arial"/>
      <w:b/>
      <w:i w:val="0"/>
      <w:iCs w:val="0"/>
      <w:sz w:val="20"/>
      <w:szCs w:val="24"/>
    </w:rPr>
  </w:style>
  <w:style w:type="paragraph" w:customStyle="1" w:styleId="82">
    <w:name w:val="Стиль18"/>
    <w:basedOn w:val="32"/>
    <w:qFormat/>
    <w:uiPriority w:val="0"/>
    <w:pPr>
      <w:tabs>
        <w:tab w:val="left" w:pos="567"/>
      </w:tabs>
      <w:spacing w:after="0"/>
      <w:jc w:val="both"/>
    </w:pPr>
    <w:rPr>
      <w:b/>
      <w:sz w:val="20"/>
      <w:szCs w:val="20"/>
    </w:rPr>
  </w:style>
  <w:style w:type="paragraph" w:customStyle="1" w:styleId="83">
    <w:name w:val="Стиль20"/>
    <w:basedOn w:val="32"/>
    <w:qFormat/>
    <w:uiPriority w:val="0"/>
    <w:pPr>
      <w:tabs>
        <w:tab w:val="left" w:pos="567"/>
      </w:tabs>
      <w:spacing w:after="0"/>
      <w:jc w:val="both"/>
    </w:pPr>
    <w:rPr>
      <w:b/>
      <w:sz w:val="20"/>
      <w:szCs w:val="20"/>
    </w:rPr>
  </w:style>
  <w:style w:type="paragraph" w:customStyle="1" w:styleId="84">
    <w:name w:val="Стиль28"/>
    <w:basedOn w:val="32"/>
    <w:qFormat/>
    <w:uiPriority w:val="0"/>
    <w:pPr>
      <w:tabs>
        <w:tab w:val="left" w:pos="567"/>
      </w:tabs>
      <w:spacing w:after="0"/>
      <w:jc w:val="both"/>
    </w:pPr>
    <w:rPr>
      <w:b/>
      <w:sz w:val="20"/>
      <w:szCs w:val="20"/>
    </w:rPr>
  </w:style>
  <w:style w:type="paragraph" w:customStyle="1" w:styleId="85">
    <w:name w:val="ConsNormal"/>
    <w:qFormat/>
    <w:uiPriority w:val="0"/>
    <w:pPr>
      <w:widowControl w:val="0"/>
      <w:snapToGrid w:val="0"/>
      <w:ind w:firstLine="720"/>
      <w:jc w:val="left"/>
    </w:pPr>
    <w:rPr>
      <w:rFonts w:ascii="Arial" w:hAnsi="Arial" w:eastAsia="Times New Roman" w:cs="Times New Roman"/>
      <w:sz w:val="20"/>
      <w:szCs w:val="20"/>
      <w:lang w:val="ru-RU" w:eastAsia="ru-RU" w:bidi="ar-SA"/>
    </w:rPr>
  </w:style>
  <w:style w:type="paragraph" w:customStyle="1" w:styleId="86">
    <w:name w:val="Default"/>
    <w:qFormat/>
    <w:uiPriority w:val="0"/>
    <w:pPr>
      <w:autoSpaceDE w:val="0"/>
      <w:autoSpaceDN w:val="0"/>
      <w:adjustRightInd w:val="0"/>
      <w:jc w:val="left"/>
    </w:pPr>
    <w:rPr>
      <w:rFonts w:ascii="Arial" w:hAnsi="Arial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87">
    <w:name w:val="ConsPlusCell"/>
    <w:qFormat/>
    <w:uiPriority w:val="0"/>
    <w:pPr>
      <w:widowControl w:val="0"/>
      <w:suppressAutoHyphens/>
      <w:autoSpaceDE w:val="0"/>
      <w:autoSpaceDN w:val="0"/>
      <w:jc w:val="left"/>
      <w:textAlignment w:val="baseline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88">
    <w:name w:val="Цветной список — акцент 11"/>
    <w:basedOn w:val="1"/>
    <w:qFormat/>
    <w:uiPriority w:val="34"/>
    <w:pPr>
      <w:suppressAutoHyphens w:val="0"/>
      <w:spacing w:after="160" w:line="259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ACDE3-E741-4B9A-A5A2-4AC5734A5E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Krokoz™</Company>
  <Pages>3</Pages>
  <Words>1126</Words>
  <Characters>6421</Characters>
  <Lines>53</Lines>
  <Paragraphs>15</Paragraphs>
  <TotalTime>0</TotalTime>
  <ScaleCrop>false</ScaleCrop>
  <LinksUpToDate>false</LinksUpToDate>
  <CharactersWithSpaces>7532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2024-03-22T09:02:00Z</dcterms:created>
  <dc:creator>Гаров Евгений Михайлович</dc:creator>
  <cp:lastModifiedBy>User</cp:lastModifiedBy>
  <cp:lastPrinted>2023-06-01T08:52:00Z</cp:lastPrinted>
  <dcterms:modified xsi:type="dcterms:W3CDTF">2024-10-24T11:47:59Z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244C4D8DDBAD43C5B87F24A5783A691F_13</vt:lpwstr>
  </property>
</Properties>
</file>