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3F45D6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5493541E" w:rsidR="0065566F" w:rsidRPr="00091034" w:rsidRDefault="0065566F" w:rsidP="003F45D6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CA4347">
        <w:rPr>
          <w:rFonts w:ascii="Verdana" w:hAnsi="Verdana"/>
          <w:lang w:val="ru-RU"/>
        </w:rPr>
        <w:t xml:space="preserve">на оказание услуг / выполнение работ </w:t>
      </w:r>
      <w:r w:rsidR="0056477D" w:rsidRPr="00091034">
        <w:rPr>
          <w:rFonts w:ascii="Verdana" w:hAnsi="Verdana"/>
          <w:lang w:val="ru-RU"/>
        </w:rPr>
        <w:t>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 w:rsidP="003F45D6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6D0881" w:rsidP="003F45D6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6EDD0164" w:rsidR="00C46DEA" w:rsidRPr="00091034" w:rsidRDefault="006D0881" w:rsidP="003F45D6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A4347" w:rsidRPr="00CA4347">
              <w:rPr>
                <w:rStyle w:val="ad"/>
                <w:rFonts w:ascii="Verdana" w:hAnsi="Verdana"/>
                <w:noProof/>
              </w:rPr>
              <w:t xml:space="preserve">услуг / работ 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6D0881" w:rsidP="003F45D6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6D0881" w:rsidP="003F45D6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6D0881" w:rsidP="003F45D6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6D0881" w:rsidP="003F45D6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ad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6D0881" w:rsidP="003F45D6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3F45D6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3F45D6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3F45D6">
      <w:pPr>
        <w:pStyle w:val="1"/>
        <w:spacing w:after="0" w:line="240" w:lineRule="auto"/>
        <w:ind w:left="0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091034" w:rsidRDefault="00857C43" w:rsidP="003F45D6">
      <w:pPr>
        <w:pStyle w:val="2"/>
        <w:spacing w:line="240" w:lineRule="auto"/>
        <w:ind w:left="0" w:firstLine="0"/>
        <w:rPr>
          <w:rFonts w:ascii="Verdana" w:hAnsi="Verdana"/>
        </w:rPr>
      </w:pPr>
      <w:bookmarkStart w:id="21" w:name="_Toc84854373"/>
      <w:r w:rsidRPr="00091034">
        <w:rPr>
          <w:rFonts w:ascii="Verdana" w:hAnsi="Verdana"/>
        </w:rPr>
        <w:t>Общие положения</w:t>
      </w:r>
      <w:bookmarkEnd w:id="21"/>
    </w:p>
    <w:p w14:paraId="672DC307" w14:textId="2BDF48E7" w:rsidR="00E249B8" w:rsidRPr="00091034" w:rsidRDefault="00F15009" w:rsidP="003F45D6">
      <w:pPr>
        <w:spacing w:after="0" w:line="240" w:lineRule="auto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6104B7B3" w14:textId="482F4809" w:rsidR="00CD4861" w:rsidRDefault="00E249B8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</w:t>
      </w:r>
      <w:r w:rsidR="00CD4861">
        <w:rPr>
          <w:rFonts w:ascii="Verdana" w:hAnsi="Verdana"/>
          <w:lang w:val="ru-RU"/>
        </w:rPr>
        <w:t>лностью принимает их положения.</w:t>
      </w:r>
      <w:r w:rsidR="00CD4861" w:rsidRPr="00091034">
        <w:rPr>
          <w:rFonts w:ascii="Verdana" w:hAnsi="Verdana"/>
          <w:lang w:val="ru-RU"/>
        </w:rPr>
        <w:t xml:space="preserve"> </w:t>
      </w:r>
    </w:p>
    <w:p w14:paraId="58EB5D21" w14:textId="77777777" w:rsidR="00B73753" w:rsidRDefault="00B73753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5F54B523" w14:textId="11A15A42" w:rsidR="00B73753" w:rsidRPr="00B73753" w:rsidRDefault="00B73753" w:rsidP="003F45D6">
      <w:pPr>
        <w:suppressAutoHyphens/>
        <w:spacing w:after="0" w:line="240" w:lineRule="auto"/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ru-RU"/>
        </w:rPr>
        <w:t>З</w:t>
      </w:r>
      <w:r w:rsidRPr="00B73753">
        <w:rPr>
          <w:rFonts w:ascii="Verdana" w:hAnsi="Verdana"/>
          <w:b/>
          <w:bCs/>
          <w:lang w:val="ru-RU"/>
        </w:rPr>
        <w:t>аконы, требования, предписания</w:t>
      </w:r>
    </w:p>
    <w:p w14:paraId="4FB5DB20" w14:textId="77777777" w:rsidR="00B73753" w:rsidRPr="00B73753" w:rsidRDefault="00B73753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026BC2E" w14:textId="77777777" w:rsidR="003F45D6" w:rsidRPr="003F45D6" w:rsidRDefault="003F45D6" w:rsidP="003F45D6">
      <w:pPr>
        <w:adjustRightInd w:val="0"/>
        <w:snapToGrid w:val="0"/>
        <w:spacing w:before="100" w:beforeAutospacing="1" w:after="100" w:afterAutospacing="1" w:line="240" w:lineRule="auto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Предусмотренные настоящим Техническим заданием и сметной документацией работы необходимо осуществить в соответствии с требованиями:</w:t>
      </w:r>
    </w:p>
    <w:p w14:paraId="390DF486" w14:textId="2E482C26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Федерального закона от 30.12.2009 № 384-ФЗ «Технический регламент о безопасности зданий и сооружений»;</w:t>
      </w:r>
    </w:p>
    <w:p w14:paraId="676A7AEA" w14:textId="5B198267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Федерального закона от 22.07.2008 № 123-ФЗ «Технический регламент о требованиях пожарной безопасности»;</w:t>
      </w:r>
    </w:p>
    <w:p w14:paraId="7AFA52B9" w14:textId="02F47E55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Приказа МЧС России от 27.07.2020 № 559 «Об утверждении свода правил СП 10.13130 «Системы противопожарной защиты. Внутренний противопожарный водопровод. Нормы и правила проектирования».</w:t>
      </w:r>
    </w:p>
    <w:p w14:paraId="70447CBD" w14:textId="06492E27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СП 48.13330.2019. Свод правил. Организация строительства. СНиП 12-01-2004» (утв. и введен в действие Приказом Минстроя России от 24.12.2019 № 861/пр),</w:t>
      </w:r>
    </w:p>
    <w:p w14:paraId="40CBE4FB" w14:textId="77777777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СП 68.13330.2017. Свод правил. Приемка в эксплуатацию законченных строительством объектов. Основные положения. Актуализированная редакция СНиП 3.01.04-87» (утв. Приказом Минстроя России от 27.07.2017 № 1033/пр),</w:t>
      </w:r>
    </w:p>
    <w:p w14:paraId="3AE0A52E" w14:textId="77777777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Постановлением Правительства РФ от 16.09.2020 № 1479 «Об утверждении Правил противопожарного режима в Российской Федерации»,</w:t>
      </w:r>
    </w:p>
    <w:p w14:paraId="322EDE84" w14:textId="77777777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Постановлением Госстроя РФ от 23.07.2001 № 80 «О принятии строительных норм и правил Российской Федерации «Безопасность труда в строительстве. Часть 1. Общие требования. СНиП 12-03-2001» (Зарегистрировано в Минюсте РФ 09.08.2001 № 2862),</w:t>
      </w:r>
    </w:p>
    <w:p w14:paraId="0FFD5B38" w14:textId="77777777" w:rsidR="003F45D6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>Постановлением Госстроя России от 17.09.2002 № 123 «О принятии строительных норм и правил Российской Федерации «Безопасность труда в строительстве. Часть 2. Строительное производство. СНиП 12-04-2002» (Зарегистрировано в Минюсте России 18.10.2002 № 3880),</w:t>
      </w:r>
    </w:p>
    <w:p w14:paraId="58099235" w14:textId="6940FF29" w:rsidR="00B73753" w:rsidRDefault="003F45D6" w:rsidP="003F45D6">
      <w:pPr>
        <w:pStyle w:val="aa"/>
        <w:numPr>
          <w:ilvl w:val="0"/>
          <w:numId w:val="21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lang w:val="ru-RU"/>
        </w:rPr>
      </w:pPr>
      <w:r w:rsidRPr="003F45D6">
        <w:rPr>
          <w:rFonts w:ascii="Verdana" w:hAnsi="Verdana"/>
          <w:lang w:val="ru-RU"/>
        </w:rPr>
        <w:t xml:space="preserve">Шкафы пожарные. Технические требования пожарной безопасности. Методы испытаний. НПБ 151-2000» (утв. Приказом ГУГПС МВД РФ от 27.12.2000 № 79), иными нормативно-правовыми актами Российской Федерации, регулирующими вопросы, связанные с выполнением работ. </w:t>
      </w:r>
    </w:p>
    <w:p w14:paraId="7D89BF7A" w14:textId="16DD967D" w:rsidR="003F45D6" w:rsidRDefault="003F45D6" w:rsidP="003F45D6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lang w:val="ru-RU"/>
        </w:rPr>
      </w:pPr>
    </w:p>
    <w:p w14:paraId="4DE2F461" w14:textId="77777777" w:rsidR="003F45D6" w:rsidRPr="003F45D6" w:rsidRDefault="003F45D6" w:rsidP="003F45D6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lang w:val="ru-RU"/>
        </w:rPr>
      </w:pPr>
    </w:p>
    <w:p w14:paraId="217924CE" w14:textId="2F044F63" w:rsidR="00052C96" w:rsidRPr="00677D43" w:rsidRDefault="00881CA6" w:rsidP="003F45D6">
      <w:pPr>
        <w:suppressAutoHyphens/>
        <w:spacing w:after="0" w:line="240" w:lineRule="auto"/>
        <w:jc w:val="both"/>
        <w:rPr>
          <w:rFonts w:ascii="Verdana" w:hAnsi="Verdana" w:cs="Arial"/>
          <w:b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</w:t>
      </w:r>
      <w:r w:rsidR="00052C96" w:rsidRPr="00677D43">
        <w:rPr>
          <w:rFonts w:ascii="Verdana" w:hAnsi="Verdana" w:cs="Arial"/>
          <w:b/>
          <w:lang w:val="ru-RU"/>
        </w:rPr>
        <w:t>данные Заказчика</w:t>
      </w:r>
    </w:p>
    <w:p w14:paraId="3F85C0EA" w14:textId="77777777" w:rsidR="00052C96" w:rsidRPr="00677D43" w:rsidRDefault="00052C96" w:rsidP="003F45D6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lang w:val="ru-RU"/>
        </w:rPr>
      </w:pPr>
      <w:r w:rsidRPr="00677D43">
        <w:rPr>
          <w:rFonts w:ascii="Verdana" w:hAnsi="Verdana" w:cs="Arial"/>
          <w:lang w:val="ru-RU"/>
        </w:rPr>
        <w:t>Городилов Роман</w:t>
      </w:r>
    </w:p>
    <w:p w14:paraId="0946A5D5" w14:textId="77777777" w:rsidR="00052C96" w:rsidRPr="00677D43" w:rsidRDefault="00052C96" w:rsidP="003F45D6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lang w:val="ru-RU"/>
        </w:rPr>
      </w:pPr>
      <w:r w:rsidRPr="00677D43">
        <w:rPr>
          <w:rFonts w:ascii="Verdana" w:hAnsi="Verdana" w:cs="Arial"/>
          <w:lang w:val="ru-RU"/>
        </w:rPr>
        <w:t>Менеджер по эксплуатации здания</w:t>
      </w:r>
    </w:p>
    <w:p w14:paraId="7654812A" w14:textId="77777777" w:rsidR="00052C96" w:rsidRPr="00677D43" w:rsidRDefault="00052C96" w:rsidP="003F45D6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lang w:val="ru-RU"/>
        </w:rPr>
      </w:pPr>
      <w:r w:rsidRPr="00677D43">
        <w:rPr>
          <w:rFonts w:ascii="Verdana" w:hAnsi="Verdana" w:cs="Arial"/>
          <w:lang w:val="ru-RU"/>
        </w:rPr>
        <w:t>ООО «АГР»</w:t>
      </w:r>
    </w:p>
    <w:p w14:paraId="22EC2F95" w14:textId="77777777" w:rsidR="00052C96" w:rsidRPr="00677D43" w:rsidRDefault="00052C96" w:rsidP="003F45D6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lang w:val="ru-RU"/>
        </w:rPr>
      </w:pPr>
      <w:r w:rsidRPr="00677D43">
        <w:rPr>
          <w:rFonts w:ascii="Verdana" w:hAnsi="Verdana" w:cs="Arial"/>
          <w:lang w:val="ru-RU"/>
        </w:rPr>
        <w:t>117485 Москва, ул. Обручева 30/1</w:t>
      </w:r>
    </w:p>
    <w:p w14:paraId="59EA1C67" w14:textId="77777777" w:rsidR="00052C96" w:rsidRPr="00677D43" w:rsidRDefault="00052C96" w:rsidP="003F45D6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lang w:val="ru-RU"/>
        </w:rPr>
      </w:pPr>
      <w:r w:rsidRPr="00677D43">
        <w:rPr>
          <w:rFonts w:ascii="Verdana" w:hAnsi="Verdana" w:cs="Arial"/>
          <w:lang w:val="ru-RU"/>
        </w:rPr>
        <w:t>Моб.:+7 (925) 503 34 49</w:t>
      </w:r>
    </w:p>
    <w:p w14:paraId="05507AE1" w14:textId="77777777" w:rsidR="00052C96" w:rsidRPr="00677D43" w:rsidRDefault="00052C96" w:rsidP="003F45D6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lang w:val="ru-RU"/>
        </w:rPr>
      </w:pPr>
      <w:r w:rsidRPr="00677D43">
        <w:rPr>
          <w:rFonts w:ascii="Verdana" w:hAnsi="Verdana" w:cs="Arial"/>
          <w:lang w:val="ru-RU"/>
        </w:rPr>
        <w:t>Roman.Gorodilov@</w:t>
      </w:r>
      <w:r w:rsidRPr="00677D43">
        <w:rPr>
          <w:rFonts w:ascii="Verdana" w:hAnsi="Verdana" w:cs="Arial"/>
          <w:lang w:val="en-US"/>
        </w:rPr>
        <w:t>agr</w:t>
      </w:r>
      <w:r w:rsidRPr="00677D43">
        <w:rPr>
          <w:rFonts w:ascii="Verdana" w:hAnsi="Verdana" w:cs="Arial"/>
          <w:lang w:val="ru-RU"/>
        </w:rPr>
        <w:t>.</w:t>
      </w:r>
      <w:r w:rsidRPr="00677D43">
        <w:rPr>
          <w:rFonts w:ascii="Verdana" w:hAnsi="Verdana" w:cs="Arial"/>
          <w:lang w:val="en-US"/>
        </w:rPr>
        <w:t>auto</w:t>
      </w:r>
    </w:p>
    <w:p w14:paraId="169B9971" w14:textId="0294CC95" w:rsidR="00881CA6" w:rsidRPr="00091034" w:rsidRDefault="00881CA6" w:rsidP="003F45D6">
      <w:pPr>
        <w:spacing w:after="0" w:line="240" w:lineRule="auto"/>
        <w:jc w:val="right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3F45D6">
      <w:pPr>
        <w:spacing w:after="0" w:line="240" w:lineRule="auto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0FD7CC5C" w14:textId="77777777" w:rsidR="00E62407" w:rsidRDefault="00E62407" w:rsidP="003F45D6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kern w:val="22"/>
          <w:lang w:val="ru-RU"/>
          <w14:cntxtAlts/>
        </w:rPr>
      </w:pPr>
    </w:p>
    <w:p w14:paraId="1AC5CEC6" w14:textId="035FDE17" w:rsidR="007027C1" w:rsidRDefault="00C64822" w:rsidP="003F45D6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Требуется:</w:t>
      </w:r>
    </w:p>
    <w:p w14:paraId="1FD6133A" w14:textId="3AF407B9" w:rsidR="007027C1" w:rsidRPr="007027C1" w:rsidRDefault="007027C1" w:rsidP="003F45D6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Разработ</w:t>
      </w:r>
      <w:r w:rsidR="00241B8E">
        <w:rPr>
          <w:rFonts w:ascii="Verdana" w:hAnsi="Verdana" w:cs="Arial"/>
          <w:kern w:val="22"/>
          <w:lang w:val="ru-RU"/>
          <w14:cntxtAlts/>
        </w:rPr>
        <w:t>ка</w:t>
      </w:r>
      <w:r>
        <w:rPr>
          <w:rFonts w:ascii="Verdana" w:hAnsi="Verdana" w:cs="Arial"/>
          <w:kern w:val="22"/>
          <w:lang w:val="ru-RU"/>
          <w14:cntxtAlts/>
        </w:rPr>
        <w:t xml:space="preserve"> проект</w:t>
      </w:r>
      <w:r w:rsidR="00241B8E">
        <w:rPr>
          <w:rFonts w:ascii="Verdana" w:hAnsi="Verdana" w:cs="Arial"/>
          <w:kern w:val="22"/>
          <w:lang w:val="ru-RU"/>
          <w14:cntxtAlts/>
        </w:rPr>
        <w:t>а</w:t>
      </w:r>
      <w:r>
        <w:rPr>
          <w:rFonts w:ascii="Verdana" w:hAnsi="Verdana" w:cs="Arial"/>
          <w:kern w:val="22"/>
          <w:lang w:val="ru-RU"/>
          <w14:cntxtAlts/>
        </w:rPr>
        <w:t xml:space="preserve"> дополнения</w:t>
      </w:r>
      <w:r w:rsidRPr="007027C1">
        <w:rPr>
          <w:rFonts w:ascii="Verdana" w:hAnsi="Verdana" w:cs="Arial"/>
          <w:kern w:val="22"/>
          <w:lang w:val="ru-RU"/>
          <w14:cntxtAlts/>
        </w:rPr>
        <w:t xml:space="preserve"> </w:t>
      </w:r>
      <w:r w:rsidR="00C64822">
        <w:rPr>
          <w:rFonts w:ascii="Verdana" w:hAnsi="Verdana" w:cs="Arial"/>
          <w:kern w:val="22"/>
          <w:lang w:val="ru-RU"/>
          <w14:cntxtAlts/>
        </w:rPr>
        <w:t xml:space="preserve">части </w:t>
      </w:r>
      <w:r w:rsidRPr="007027C1">
        <w:rPr>
          <w:rFonts w:ascii="Verdana" w:hAnsi="Verdana" w:cs="Arial"/>
          <w:kern w:val="22"/>
          <w:lang w:val="ru-RU"/>
          <w14:cntxtAlts/>
        </w:rPr>
        <w:t>существующего внутреннего пожарного водопровода</w:t>
      </w:r>
      <w:r w:rsidR="00C64822">
        <w:rPr>
          <w:rFonts w:ascii="Verdana" w:hAnsi="Verdana" w:cs="Arial"/>
          <w:kern w:val="22"/>
          <w:lang w:val="ru-RU"/>
          <w14:cntxtAlts/>
        </w:rPr>
        <w:t>,</w:t>
      </w:r>
      <w:r w:rsidRPr="007027C1">
        <w:rPr>
          <w:rFonts w:ascii="Verdana" w:hAnsi="Verdana" w:cs="Arial"/>
          <w:kern w:val="22"/>
          <w:lang w:val="ru-RU"/>
          <w14:cntxtAlts/>
        </w:rPr>
        <w:t xml:space="preserve"> в соответствии с требованиями нормативных документов по пожарной безопасности</w:t>
      </w:r>
      <w:r w:rsidR="00C64822">
        <w:rPr>
          <w:rFonts w:ascii="Verdana" w:hAnsi="Verdana" w:cs="Arial"/>
          <w:kern w:val="22"/>
          <w:lang w:val="ru-RU"/>
          <w14:cntxtAlts/>
        </w:rPr>
        <w:t>.</w:t>
      </w:r>
      <w:r w:rsidRPr="007027C1">
        <w:rPr>
          <w:rFonts w:ascii="Verdana" w:hAnsi="Verdana" w:cs="Arial"/>
          <w:kern w:val="22"/>
          <w:lang w:val="ru-RU"/>
          <w14:cntxtAlts/>
        </w:rPr>
        <w:t xml:space="preserve"> </w:t>
      </w:r>
      <w:r w:rsidR="00C64822">
        <w:rPr>
          <w:rFonts w:ascii="Verdana" w:hAnsi="Verdana" w:cs="Arial"/>
          <w:kern w:val="22"/>
          <w:lang w:val="ru-RU"/>
          <w14:cntxtAlts/>
        </w:rPr>
        <w:t>Предоставление рабочей документации (РД).</w:t>
      </w:r>
    </w:p>
    <w:p w14:paraId="36F9C3FB" w14:textId="77777777" w:rsidR="00E62407" w:rsidRDefault="00B73753" w:rsidP="003F45D6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Выполнение рабо</w:t>
      </w:r>
      <w:r w:rsidR="00E62407">
        <w:rPr>
          <w:rFonts w:ascii="Verdana" w:hAnsi="Verdana" w:cs="Arial"/>
          <w:kern w:val="22"/>
          <w:lang w:val="ru-RU"/>
          <w14:cntxtAlts/>
        </w:rPr>
        <w:t>т по разработанной документации:</w:t>
      </w:r>
      <w:r>
        <w:rPr>
          <w:rFonts w:ascii="Verdana" w:hAnsi="Verdana" w:cs="Arial"/>
          <w:kern w:val="22"/>
          <w:lang w:val="ru-RU"/>
          <w14:cntxtAlts/>
        </w:rPr>
        <w:t xml:space="preserve"> </w:t>
      </w:r>
    </w:p>
    <w:p w14:paraId="3A2CDEDC" w14:textId="4BFBD348" w:rsidR="00EF16EC" w:rsidRDefault="00241B8E" w:rsidP="003F45D6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 xml:space="preserve">Врезка </w:t>
      </w:r>
      <w:r w:rsidR="00BA7CC2" w:rsidRPr="007027C1">
        <w:rPr>
          <w:rFonts w:ascii="Verdana" w:hAnsi="Verdana" w:cs="Arial"/>
          <w:kern w:val="22"/>
          <w:lang w:val="ru-RU"/>
          <w14:cntxtAlts/>
        </w:rPr>
        <w:t>в</w:t>
      </w:r>
      <w:r w:rsidR="001C2E22" w:rsidRPr="007027C1">
        <w:rPr>
          <w:rFonts w:ascii="Verdana" w:hAnsi="Verdana" w:cs="Arial"/>
          <w:kern w:val="22"/>
          <w:lang w:val="ru-RU"/>
          <w14:cntxtAlts/>
        </w:rPr>
        <w:t xml:space="preserve"> стояки</w:t>
      </w:r>
      <w:r w:rsidR="00B73753">
        <w:rPr>
          <w:rFonts w:ascii="Verdana" w:hAnsi="Verdana" w:cs="Arial"/>
          <w:kern w:val="22"/>
          <w:lang w:val="ru-RU"/>
          <w14:cntxtAlts/>
        </w:rPr>
        <w:t xml:space="preserve"> </w:t>
      </w:r>
      <w:r w:rsidR="00BA7CC2" w:rsidRPr="007027C1">
        <w:rPr>
          <w:rFonts w:ascii="Verdana" w:hAnsi="Verdana" w:cs="Arial"/>
          <w:kern w:val="22"/>
          <w:lang w:val="ru-RU"/>
          <w14:cntxtAlts/>
        </w:rPr>
        <w:t>существующ</w:t>
      </w:r>
      <w:r w:rsidR="001C2E22" w:rsidRPr="007027C1">
        <w:rPr>
          <w:rFonts w:ascii="Verdana" w:hAnsi="Verdana" w:cs="Arial"/>
          <w:kern w:val="22"/>
          <w:lang w:val="ru-RU"/>
          <w14:cntxtAlts/>
        </w:rPr>
        <w:t>его</w:t>
      </w:r>
      <w:r w:rsidR="00BA7CC2" w:rsidRPr="007027C1">
        <w:rPr>
          <w:rFonts w:ascii="Verdana" w:hAnsi="Verdana" w:cs="Arial"/>
          <w:kern w:val="22"/>
          <w:lang w:val="ru-RU"/>
          <w14:cntxtAlts/>
        </w:rPr>
        <w:t xml:space="preserve"> </w:t>
      </w:r>
      <w:r w:rsidR="000A1930" w:rsidRPr="007027C1">
        <w:rPr>
          <w:rFonts w:ascii="Verdana" w:hAnsi="Verdana" w:cs="Arial"/>
          <w:kern w:val="22"/>
          <w:lang w:val="ru-RU"/>
          <w14:cntxtAlts/>
        </w:rPr>
        <w:t>внутренн</w:t>
      </w:r>
      <w:r w:rsidR="001C2E22" w:rsidRPr="007027C1">
        <w:rPr>
          <w:rFonts w:ascii="Verdana" w:hAnsi="Verdana" w:cs="Arial"/>
          <w:kern w:val="22"/>
          <w:lang w:val="ru-RU"/>
          <w14:cntxtAlts/>
        </w:rPr>
        <w:t>его</w:t>
      </w:r>
      <w:r w:rsidR="000A1930" w:rsidRPr="007027C1">
        <w:rPr>
          <w:rFonts w:ascii="Verdana" w:hAnsi="Verdana" w:cs="Arial"/>
          <w:kern w:val="22"/>
          <w:lang w:val="ru-RU"/>
          <w14:cntxtAlts/>
        </w:rPr>
        <w:t xml:space="preserve"> пожарн</w:t>
      </w:r>
      <w:r w:rsidR="001C2E22" w:rsidRPr="007027C1">
        <w:rPr>
          <w:rFonts w:ascii="Verdana" w:hAnsi="Verdana" w:cs="Arial"/>
          <w:kern w:val="22"/>
          <w:lang w:val="ru-RU"/>
          <w14:cntxtAlts/>
        </w:rPr>
        <w:t>ого</w:t>
      </w:r>
      <w:r w:rsidR="000A1930" w:rsidRPr="007027C1">
        <w:rPr>
          <w:rFonts w:ascii="Verdana" w:hAnsi="Verdana" w:cs="Arial"/>
          <w:kern w:val="22"/>
          <w:lang w:val="ru-RU"/>
          <w14:cntxtAlts/>
        </w:rPr>
        <w:t xml:space="preserve"> водопрово</w:t>
      </w:r>
      <w:r w:rsidR="00BA7CC2" w:rsidRPr="007027C1">
        <w:rPr>
          <w:rFonts w:ascii="Verdana" w:hAnsi="Verdana" w:cs="Arial"/>
          <w:kern w:val="22"/>
          <w:lang w:val="ru-RU"/>
          <w14:cntxtAlts/>
        </w:rPr>
        <w:t>д</w:t>
      </w:r>
      <w:r w:rsidR="001C2E22" w:rsidRPr="007027C1">
        <w:rPr>
          <w:rFonts w:ascii="Verdana" w:hAnsi="Verdana" w:cs="Arial"/>
          <w:kern w:val="22"/>
          <w:lang w:val="ru-RU"/>
          <w14:cntxtAlts/>
        </w:rPr>
        <w:t>а</w:t>
      </w:r>
      <w:r w:rsidR="00E62407">
        <w:rPr>
          <w:rFonts w:ascii="Verdana" w:hAnsi="Verdana" w:cs="Arial"/>
          <w:kern w:val="22"/>
          <w:lang w:val="ru-RU"/>
          <w14:cntxtAlts/>
        </w:rPr>
        <w:t>. Подключение</w:t>
      </w:r>
      <w:r w:rsidR="00EF16EC">
        <w:rPr>
          <w:rFonts w:ascii="Verdana" w:hAnsi="Verdana" w:cs="Arial"/>
          <w:kern w:val="22"/>
          <w:lang w:val="ru-RU"/>
          <w14:cntxtAlts/>
        </w:rPr>
        <w:t xml:space="preserve"> дополнительных пожарных кранов</w:t>
      </w:r>
      <w:r w:rsidR="00E64E47">
        <w:rPr>
          <w:rFonts w:ascii="Verdana" w:hAnsi="Verdana" w:cs="Arial"/>
          <w:kern w:val="22"/>
          <w:lang w:val="ru-RU"/>
          <w14:cntxtAlts/>
        </w:rPr>
        <w:t>.</w:t>
      </w:r>
    </w:p>
    <w:p w14:paraId="500205C2" w14:textId="77777777" w:rsidR="00EF16EC" w:rsidRDefault="00EF16EC" w:rsidP="003F45D6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60D2EE55" w14:textId="38288591" w:rsidR="00E74272" w:rsidRPr="00530575" w:rsidRDefault="00C64822" w:rsidP="003F45D6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 xml:space="preserve">Ведение исполнительной документации (ИД) и её предоставление </w:t>
      </w:r>
      <w:r w:rsidR="00E62407">
        <w:rPr>
          <w:rFonts w:ascii="Verdana" w:hAnsi="Verdana" w:cs="Arial"/>
          <w:kern w:val="22"/>
          <w:lang w:val="ru-RU"/>
          <w14:cntxtAlts/>
        </w:rPr>
        <w:t xml:space="preserve">Заказчику </w:t>
      </w:r>
      <w:r>
        <w:rPr>
          <w:rFonts w:ascii="Verdana" w:hAnsi="Verdana" w:cs="Arial"/>
          <w:kern w:val="22"/>
          <w:lang w:val="ru-RU"/>
          <w14:cntxtAlts/>
        </w:rPr>
        <w:t>по</w:t>
      </w:r>
      <w:r w:rsidR="00530575">
        <w:rPr>
          <w:rFonts w:ascii="Verdana" w:hAnsi="Verdana" w:cs="Arial"/>
          <w:kern w:val="22"/>
          <w:lang w:val="ru-RU"/>
          <w14:cntxtAlts/>
        </w:rPr>
        <w:t xml:space="preserve"> окончанию работ.</w:t>
      </w:r>
    </w:p>
    <w:p w14:paraId="15E1C831" w14:textId="21A10C3C" w:rsidR="00881CA6" w:rsidRPr="00091034" w:rsidRDefault="00881CA6" w:rsidP="003F45D6">
      <w:pPr>
        <w:spacing w:after="0" w:line="240" w:lineRule="auto"/>
        <w:rPr>
          <w:rFonts w:ascii="Verdana" w:hAnsi="Verdana"/>
          <w:i/>
          <w:iCs/>
          <w:lang w:val="ru-RU"/>
        </w:rPr>
      </w:pPr>
    </w:p>
    <w:p w14:paraId="72D3FBE7" w14:textId="63849C94" w:rsidR="00130983" w:rsidRDefault="00881CA6" w:rsidP="003F45D6">
      <w:pPr>
        <w:pStyle w:val="2"/>
        <w:spacing w:line="240" w:lineRule="auto"/>
        <w:ind w:left="0" w:firstLine="0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052C96">
        <w:rPr>
          <w:rFonts w:ascii="Verdana" w:hAnsi="Verdana"/>
        </w:rPr>
        <w:t xml:space="preserve">услуг / работ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CC922E1" w14:textId="0EDCAA4D" w:rsidR="00052BEA" w:rsidRPr="00052BEA" w:rsidRDefault="00530575" w:rsidP="003F45D6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Заказчик предоставляет имеющуюся документацию Исполнителю</w:t>
      </w:r>
      <w:r w:rsidR="007A6744">
        <w:rPr>
          <w:rFonts w:ascii="Verdana" w:hAnsi="Verdana" w:cs="Arial"/>
          <w:kern w:val="22"/>
          <w:lang w:val="ru-RU"/>
          <w14:cntxtAlts/>
        </w:rPr>
        <w:t xml:space="preserve"> 1</w:t>
      </w:r>
      <w:r>
        <w:rPr>
          <w:rFonts w:ascii="Verdana" w:hAnsi="Verdana" w:cs="Arial"/>
          <w:kern w:val="22"/>
          <w:lang w:val="ru-RU"/>
          <w14:cntxtAlts/>
        </w:rPr>
        <w:t xml:space="preserve"> (</w:t>
      </w:r>
      <w:r w:rsidR="00E62407">
        <w:rPr>
          <w:rFonts w:ascii="Verdana" w:hAnsi="Verdana" w:cs="Arial"/>
          <w:kern w:val="22"/>
          <w:lang w:val="ru-RU"/>
          <w14:cntxtAlts/>
        </w:rPr>
        <w:t>П</w:t>
      </w:r>
      <w:r>
        <w:rPr>
          <w:rFonts w:ascii="Verdana" w:hAnsi="Verdana" w:cs="Arial"/>
          <w:kern w:val="22"/>
          <w:lang w:val="ru-RU"/>
          <w14:cntxtAlts/>
        </w:rPr>
        <w:t>роек</w:t>
      </w:r>
      <w:r w:rsidR="00E62407">
        <w:rPr>
          <w:rFonts w:ascii="Verdana" w:hAnsi="Verdana" w:cs="Arial"/>
          <w:kern w:val="22"/>
          <w:lang w:val="ru-RU"/>
          <w14:cntxtAlts/>
        </w:rPr>
        <w:t>тной организации</w:t>
      </w:r>
      <w:r>
        <w:rPr>
          <w:rFonts w:ascii="Verdana" w:hAnsi="Verdana" w:cs="Arial"/>
          <w:kern w:val="22"/>
          <w:lang w:val="ru-RU"/>
          <w14:cntxtAlts/>
        </w:rPr>
        <w:t xml:space="preserve">) для разработки проекта дополнения части </w:t>
      </w:r>
      <w:r w:rsidRPr="007027C1">
        <w:rPr>
          <w:rFonts w:ascii="Verdana" w:hAnsi="Verdana" w:cs="Arial"/>
          <w:kern w:val="22"/>
          <w:lang w:val="ru-RU"/>
          <w14:cntxtAlts/>
        </w:rPr>
        <w:t>существующего внутреннего пожарного водопровода</w:t>
      </w:r>
      <w:r w:rsidR="00052BEA">
        <w:rPr>
          <w:rFonts w:ascii="Verdana" w:hAnsi="Verdana" w:cs="Arial"/>
          <w:kern w:val="22"/>
          <w:lang w:val="ru-RU"/>
          <w14:cntxtAlts/>
        </w:rPr>
        <w:t xml:space="preserve"> </w:t>
      </w:r>
      <w:r w:rsidR="00E64E47">
        <w:rPr>
          <w:rFonts w:ascii="Verdana" w:hAnsi="Verdana" w:cs="Arial"/>
          <w:kern w:val="22"/>
          <w:lang w:val="ru-RU"/>
          <w14:cntxtAlts/>
        </w:rPr>
        <w:t>т</w:t>
      </w:r>
      <w:r w:rsidR="00052BEA">
        <w:rPr>
          <w:rFonts w:ascii="Verdana" w:hAnsi="Verdana" w:cs="Arial"/>
          <w:kern w:val="22"/>
          <w:lang w:val="ru-RU"/>
          <w14:cntxtAlts/>
        </w:rPr>
        <w:t>рёхэтажного структурного мезонина</w:t>
      </w:r>
      <w:r w:rsidR="00E64E47">
        <w:rPr>
          <w:rFonts w:ascii="Verdana" w:hAnsi="Verdana" w:cs="Arial"/>
          <w:kern w:val="22"/>
          <w:lang w:val="ru-RU"/>
          <w14:cntxtAlts/>
        </w:rPr>
        <w:t>,</w:t>
      </w:r>
      <w:r w:rsidR="00052BEA">
        <w:rPr>
          <w:rFonts w:ascii="Verdana" w:hAnsi="Verdana" w:cs="Arial"/>
          <w:kern w:val="22"/>
          <w:lang w:val="ru-RU"/>
          <w14:cntxtAlts/>
        </w:rPr>
        <w:t xml:space="preserve"> расположенного</w:t>
      </w:r>
      <w:r w:rsidR="00E64E47">
        <w:rPr>
          <w:rFonts w:ascii="Verdana" w:hAnsi="Verdana" w:cs="Arial"/>
          <w:kern w:val="22"/>
          <w:lang w:val="ru-RU"/>
          <w14:cntxtAlts/>
        </w:rPr>
        <w:t xml:space="preserve"> в Блоке №3, склада ООО «АГР» по адресу: </w:t>
      </w:r>
      <w:r w:rsidR="00E64E47" w:rsidRPr="00E64E47">
        <w:rPr>
          <w:rFonts w:ascii="Verdana" w:hAnsi="Verdana" w:cs="Arial"/>
          <w:kern w:val="22"/>
          <w:lang w:val="ru-RU"/>
          <w14:cntxtAlts/>
        </w:rPr>
        <w:t>Московская обл., Чеховский р-он, с. Новоселки, промышленная зона Новоселки, вл.19, стр.11</w:t>
      </w:r>
      <w:r w:rsidR="00E64E47">
        <w:rPr>
          <w:rFonts w:ascii="Verdana" w:hAnsi="Verdana" w:cs="Arial"/>
          <w:kern w:val="22"/>
          <w:lang w:val="ru-RU"/>
          <w14:cntxtAlts/>
        </w:rPr>
        <w:t>/</w:t>
      </w:r>
      <w:r w:rsidR="00052BEA">
        <w:rPr>
          <w:rFonts w:ascii="Verdana" w:hAnsi="Verdana" w:cs="Arial"/>
          <w:kern w:val="22"/>
          <w:lang w:val="ru-RU"/>
          <w14:cntxtAlts/>
        </w:rPr>
        <w:t xml:space="preserve">1., </w:t>
      </w:r>
      <w:r w:rsidR="00052BEA" w:rsidRPr="00052BEA">
        <w:rPr>
          <w:rFonts w:ascii="Verdana" w:hAnsi="Verdana" w:cs="Arial"/>
          <w:kern w:val="22"/>
          <w:lang w:val="ru-RU"/>
          <w14:cntxtAlts/>
        </w:rPr>
        <w:t xml:space="preserve">по осям Д-К, 15-18 (ПРИЛОЖЕНИЕ 1). В заданных координатах осей находится трёхэтажный структурный мезонин. </w:t>
      </w:r>
    </w:p>
    <w:p w14:paraId="09AF012B" w14:textId="1A9C9B3D" w:rsidR="00530575" w:rsidRDefault="00530575" w:rsidP="003F45D6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П</w:t>
      </w:r>
      <w:r w:rsidR="00E64E47">
        <w:rPr>
          <w:rFonts w:ascii="Verdana" w:hAnsi="Verdana" w:cs="Arial"/>
          <w:kern w:val="22"/>
          <w:lang w:val="ru-RU"/>
          <w14:cntxtAlts/>
        </w:rPr>
        <w:t xml:space="preserve">роектом расчитывается достаточность </w:t>
      </w:r>
      <w:r>
        <w:rPr>
          <w:rFonts w:ascii="Verdana" w:hAnsi="Verdana" w:cs="Arial"/>
          <w:kern w:val="22"/>
          <w:lang w:val="ru-RU"/>
          <w14:cntxtAlts/>
        </w:rPr>
        <w:t xml:space="preserve"> </w:t>
      </w:r>
      <w:r w:rsidR="00980831">
        <w:rPr>
          <w:rFonts w:ascii="Verdana" w:hAnsi="Verdana" w:cs="Arial"/>
          <w:kern w:val="22"/>
          <w:lang w:val="ru-RU"/>
          <w14:cntxtAlts/>
        </w:rPr>
        <w:t xml:space="preserve">количества </w:t>
      </w:r>
      <w:r>
        <w:rPr>
          <w:rFonts w:ascii="Verdana" w:hAnsi="Verdana" w:cs="Arial"/>
          <w:kern w:val="22"/>
          <w:lang w:val="ru-RU"/>
          <w14:cntxtAlts/>
        </w:rPr>
        <w:t xml:space="preserve">ПК на первом уровне и </w:t>
      </w:r>
      <w:r w:rsidR="00EF16EC">
        <w:rPr>
          <w:rFonts w:ascii="Verdana" w:hAnsi="Verdana" w:cs="Arial"/>
          <w:kern w:val="22"/>
          <w:lang w:val="ru-RU"/>
          <w14:cntxtAlts/>
        </w:rPr>
        <w:t xml:space="preserve">расчёт и </w:t>
      </w:r>
      <w:r>
        <w:rPr>
          <w:rFonts w:ascii="Verdana" w:hAnsi="Verdana" w:cs="Arial"/>
          <w:kern w:val="22"/>
          <w:lang w:val="ru-RU"/>
          <w14:cntxtAlts/>
        </w:rPr>
        <w:t xml:space="preserve">проектирование мест </w:t>
      </w:r>
      <w:r w:rsidR="00EF16EC">
        <w:rPr>
          <w:rFonts w:ascii="Verdana" w:hAnsi="Verdana" w:cs="Arial"/>
          <w:kern w:val="22"/>
          <w:lang w:val="ru-RU"/>
          <w14:cntxtAlts/>
        </w:rPr>
        <w:t>установки</w:t>
      </w:r>
      <w:r>
        <w:rPr>
          <w:rFonts w:ascii="Verdana" w:hAnsi="Verdana" w:cs="Arial"/>
          <w:kern w:val="22"/>
          <w:lang w:val="ru-RU"/>
          <w14:cntxtAlts/>
        </w:rPr>
        <w:t xml:space="preserve"> ПК на уровнях 2 и 3</w:t>
      </w:r>
      <w:r w:rsidR="00EF16EC">
        <w:rPr>
          <w:rFonts w:ascii="Verdana" w:hAnsi="Verdana" w:cs="Arial"/>
          <w:kern w:val="22"/>
          <w:lang w:val="ru-RU"/>
          <w14:cntxtAlts/>
        </w:rPr>
        <w:t>,</w:t>
      </w:r>
      <w:r w:rsidR="00980831">
        <w:rPr>
          <w:rFonts w:ascii="Verdana" w:hAnsi="Verdana" w:cs="Arial"/>
          <w:kern w:val="22"/>
          <w:lang w:val="ru-RU"/>
          <w14:cntxtAlts/>
        </w:rPr>
        <w:t xml:space="preserve"> </w:t>
      </w:r>
      <w:r w:rsidR="00EF16EC" w:rsidRPr="007027C1">
        <w:rPr>
          <w:rFonts w:ascii="Verdana" w:hAnsi="Verdana" w:cs="Arial"/>
          <w:kern w:val="22"/>
          <w:lang w:val="ru-RU"/>
          <w14:cntxtAlts/>
        </w:rPr>
        <w:t>с учётом</w:t>
      </w:r>
      <w:r w:rsidR="00EF16EC">
        <w:rPr>
          <w:rFonts w:ascii="Verdana" w:hAnsi="Verdana" w:cs="Arial"/>
          <w:kern w:val="22"/>
          <w:lang w:val="ru-RU"/>
          <w14:cntxtAlts/>
        </w:rPr>
        <w:t>,</w:t>
      </w:r>
      <w:r w:rsidR="00EF16EC" w:rsidRPr="007027C1">
        <w:rPr>
          <w:rFonts w:ascii="Verdana" w:hAnsi="Verdana" w:cs="Arial"/>
          <w:kern w:val="22"/>
          <w:lang w:val="ru-RU"/>
          <w14:cntxtAlts/>
        </w:rPr>
        <w:t xml:space="preserve"> что каждая точка на </w:t>
      </w:r>
      <w:r w:rsidR="00E62407">
        <w:rPr>
          <w:rFonts w:ascii="Verdana" w:hAnsi="Verdana" w:cs="Arial"/>
          <w:kern w:val="22"/>
          <w:lang w:val="ru-RU"/>
          <w14:cntxtAlts/>
        </w:rPr>
        <w:t>этаже</w:t>
      </w:r>
      <w:r w:rsidR="00EF16EC" w:rsidRPr="007027C1">
        <w:rPr>
          <w:rFonts w:ascii="Verdana" w:hAnsi="Verdana" w:cs="Arial"/>
          <w:kern w:val="22"/>
          <w:lang w:val="ru-RU"/>
          <w14:cntxtAlts/>
        </w:rPr>
        <w:t xml:space="preserve"> мезонина должна орошаться двумя струями.</w:t>
      </w:r>
    </w:p>
    <w:p w14:paraId="264E713C" w14:textId="1D85D8C8" w:rsidR="00B73753" w:rsidRDefault="006A7CC0" w:rsidP="003F45D6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530575">
        <w:rPr>
          <w:rFonts w:ascii="Verdana" w:hAnsi="Verdana" w:cs="Arial"/>
          <w:kern w:val="22"/>
          <w:lang w:val="ru-RU"/>
          <w14:cntxtAlts/>
        </w:rPr>
        <w:t xml:space="preserve">Разработка проекта </w:t>
      </w:r>
      <w:r w:rsidR="007A6744">
        <w:rPr>
          <w:rFonts w:ascii="Verdana" w:hAnsi="Verdana" w:cs="Arial"/>
          <w:kern w:val="22"/>
          <w:lang w:val="ru-RU"/>
          <w14:cntxtAlts/>
        </w:rPr>
        <w:t>должна осуществляться</w:t>
      </w:r>
      <w:r w:rsidRPr="00530575">
        <w:rPr>
          <w:rFonts w:ascii="Verdana" w:hAnsi="Verdana" w:cs="Arial"/>
          <w:kern w:val="22"/>
          <w:lang w:val="ru-RU"/>
          <w14:cntxtAlts/>
        </w:rPr>
        <w:t xml:space="preserve"> в соответствии с требованиями нормативных документов по пожарной безопасности.</w:t>
      </w:r>
      <w:r w:rsidR="007A6744">
        <w:rPr>
          <w:rFonts w:ascii="Verdana" w:hAnsi="Verdana" w:cs="Arial"/>
          <w:kern w:val="22"/>
          <w:lang w:val="ru-RU"/>
          <w14:cntxtAlts/>
        </w:rPr>
        <w:t xml:space="preserve"> По окончанию работ Исполнитель 1 передаёт рабочую документацию (РД) Заказчику.</w:t>
      </w:r>
      <w:r w:rsidRPr="00530575">
        <w:rPr>
          <w:rFonts w:ascii="Verdana" w:hAnsi="Verdana" w:cs="Arial"/>
          <w:kern w:val="22"/>
          <w:lang w:val="ru-RU"/>
          <w14:cntxtAlts/>
        </w:rPr>
        <w:t xml:space="preserve"> </w:t>
      </w:r>
    </w:p>
    <w:p w14:paraId="76BE6458" w14:textId="77777777" w:rsidR="001B2660" w:rsidRDefault="007A6744" w:rsidP="003F45D6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Заказчик передаёт Исполнителю 2 проектную документацию</w:t>
      </w:r>
      <w:r w:rsidR="001B2660">
        <w:rPr>
          <w:rFonts w:ascii="Verdana" w:hAnsi="Verdana" w:cs="Arial"/>
          <w:kern w:val="22"/>
          <w:lang w:val="ru-RU"/>
          <w14:cntxtAlts/>
        </w:rPr>
        <w:t>.</w:t>
      </w:r>
      <w:r>
        <w:rPr>
          <w:rFonts w:ascii="Verdana" w:hAnsi="Verdana" w:cs="Arial"/>
          <w:kern w:val="22"/>
          <w:lang w:val="ru-RU"/>
          <w14:cntxtAlts/>
        </w:rPr>
        <w:t xml:space="preserve"> </w:t>
      </w:r>
    </w:p>
    <w:p w14:paraId="270D1585" w14:textId="12CCFCE4" w:rsidR="001B2660" w:rsidRDefault="007A6744" w:rsidP="003F45D6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 xml:space="preserve">Исполнитель2 </w:t>
      </w:r>
      <w:r w:rsidR="001B2660">
        <w:rPr>
          <w:rFonts w:ascii="Verdana" w:hAnsi="Verdana" w:cs="Arial"/>
          <w:kern w:val="22"/>
          <w:lang w:val="ru-RU"/>
          <w14:cntxtAlts/>
        </w:rPr>
        <w:t xml:space="preserve">на основании переданной документации, </w:t>
      </w:r>
      <w:r>
        <w:rPr>
          <w:rFonts w:ascii="Verdana" w:hAnsi="Verdana" w:cs="Arial"/>
          <w:kern w:val="22"/>
          <w:lang w:val="ru-RU"/>
          <w14:cntxtAlts/>
        </w:rPr>
        <w:t>разрабатывае</w:t>
      </w:r>
      <w:r w:rsidR="001B2660">
        <w:rPr>
          <w:rFonts w:ascii="Verdana" w:hAnsi="Verdana" w:cs="Arial"/>
          <w:kern w:val="22"/>
          <w:lang w:val="ru-RU"/>
          <w14:cntxtAlts/>
        </w:rPr>
        <w:t>т</w:t>
      </w:r>
      <w:r>
        <w:rPr>
          <w:rFonts w:ascii="Verdana" w:hAnsi="Verdana" w:cs="Arial"/>
          <w:kern w:val="22"/>
          <w:lang w:val="ru-RU"/>
          <w14:cntxtAlts/>
        </w:rPr>
        <w:t xml:space="preserve"> проект производства работ (ППР) </w:t>
      </w:r>
      <w:r w:rsidR="001B2660">
        <w:rPr>
          <w:rFonts w:ascii="Verdana" w:hAnsi="Verdana" w:cs="Arial"/>
          <w:kern w:val="22"/>
          <w:lang w:val="ru-RU"/>
          <w14:cntxtAlts/>
        </w:rPr>
        <w:t>и передаёт его на утверждение Заказчику. В ППР должны быть предусмотрены меры безопасности, прорабатываются вопросы технологии и организации строительства.</w:t>
      </w:r>
    </w:p>
    <w:p w14:paraId="796C5D12" w14:textId="31533EB5" w:rsidR="006A7CC0" w:rsidRDefault="001B2660" w:rsidP="003F45D6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 xml:space="preserve">Исполнитель 2 осуществляет доставку </w:t>
      </w:r>
      <w:r w:rsidR="00564DF1">
        <w:rPr>
          <w:rFonts w:ascii="Verdana" w:hAnsi="Verdana" w:cs="Arial"/>
          <w:kern w:val="22"/>
          <w:lang w:val="ru-RU"/>
          <w14:cntxtAlts/>
        </w:rPr>
        <w:t>материалов для производства работ. Осуществляет врезки</w:t>
      </w:r>
      <w:r w:rsidR="00B73753" w:rsidRPr="001B2660">
        <w:rPr>
          <w:rFonts w:ascii="Verdana" w:hAnsi="Verdana" w:cs="Arial"/>
          <w:kern w:val="22"/>
          <w:lang w:val="ru-RU"/>
          <w14:cntxtAlts/>
        </w:rPr>
        <w:t xml:space="preserve"> в стояки существующего внут</w:t>
      </w:r>
      <w:r w:rsidR="00B73753" w:rsidRPr="001B2660">
        <w:rPr>
          <w:rFonts w:ascii="Verdana" w:hAnsi="Verdana" w:cs="Arial"/>
          <w:kern w:val="22"/>
          <w:lang w:val="ru-RU"/>
          <w14:cntxtAlts/>
        </w:rPr>
        <w:lastRenderedPageBreak/>
        <w:t>реннего пожарного водопровода, построенного на базе трубопроводов с установленными на них пожарными кранами, подключёнными к сплинкерным секциям дополнительных пожарных кранов</w:t>
      </w:r>
      <w:r>
        <w:rPr>
          <w:rFonts w:ascii="Verdana" w:hAnsi="Verdana" w:cs="Arial"/>
          <w:kern w:val="22"/>
          <w:lang w:val="ru-RU"/>
          <w14:cntxtAlts/>
        </w:rPr>
        <w:t>.</w:t>
      </w:r>
    </w:p>
    <w:p w14:paraId="621F58BD" w14:textId="44FCED26" w:rsidR="004C0F24" w:rsidRPr="004C0F24" w:rsidRDefault="004C0F24" w:rsidP="003F45D6">
      <w:pPr>
        <w:pStyle w:val="aa"/>
        <w:numPr>
          <w:ilvl w:val="0"/>
          <w:numId w:val="18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 w:cs="Arial"/>
          <w:kern w:val="22"/>
          <w:lang w:val="ru-RU"/>
          <w14:cntxtAlts/>
        </w:rPr>
      </w:pPr>
      <w:r w:rsidRPr="009E6339">
        <w:rPr>
          <w:rFonts w:ascii="Verdana" w:hAnsi="Verdana" w:cs="Arial"/>
          <w:kern w:val="22"/>
          <w:lang w:val="ru-RU"/>
          <w14:cntxtAlts/>
        </w:rPr>
        <w:t>Пуско-наладочные работы системы пожаротушения;</w:t>
      </w:r>
    </w:p>
    <w:p w14:paraId="6D625C0A" w14:textId="208B17B8" w:rsidR="001B2660" w:rsidRDefault="001B2660" w:rsidP="003F45D6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Ведение Исполнителем 2 исполнительной документации (ИД) и передача её Заказчику по окончанию работ.</w:t>
      </w:r>
    </w:p>
    <w:p w14:paraId="3E86AAD4" w14:textId="0F30145F" w:rsidR="00082172" w:rsidRPr="003F45D6" w:rsidRDefault="001B2660" w:rsidP="003F45D6">
      <w:pPr>
        <w:spacing w:before="100" w:beforeAutospacing="1" w:after="100" w:afterAutospacing="1" w:line="240" w:lineRule="auto"/>
        <w:mirrorIndents/>
        <w:rPr>
          <w:rFonts w:ascii="Verdana" w:hAnsi="Verdana" w:cs="Arial"/>
          <w:b/>
          <w:bCs/>
          <w:kern w:val="22"/>
          <w:lang w:val="ru-RU"/>
          <w14:cntxtAlts/>
        </w:rPr>
      </w:pPr>
      <w:r w:rsidRPr="003F45D6">
        <w:rPr>
          <w:rFonts w:ascii="Verdana" w:hAnsi="Verdana" w:cs="Arial"/>
          <w:b/>
          <w:bCs/>
          <w:kern w:val="22"/>
          <w:lang w:val="ru-RU"/>
          <w14:cntxtAlts/>
        </w:rPr>
        <w:t>Д</w:t>
      </w:r>
      <w:r w:rsidR="004C0F24" w:rsidRPr="003F45D6">
        <w:rPr>
          <w:rFonts w:ascii="Verdana" w:hAnsi="Verdana" w:cs="Arial"/>
          <w:b/>
          <w:bCs/>
          <w:kern w:val="22"/>
          <w:lang w:val="ru-RU"/>
          <w14:cntxtAlts/>
        </w:rPr>
        <w:t>ополнительные сведения.</w:t>
      </w:r>
    </w:p>
    <w:p w14:paraId="776FAE23" w14:textId="77777777" w:rsidR="00DF5417" w:rsidRPr="00DF5417" w:rsidRDefault="00DF5417" w:rsidP="00DF5417">
      <w:pPr>
        <w:pStyle w:val="aa"/>
        <w:spacing w:before="100" w:beforeAutospacing="1" w:after="100" w:afterAutospacing="1" w:line="240" w:lineRule="auto"/>
        <w:mirrorIndents/>
        <w:rPr>
          <w:rFonts w:ascii="Verdana" w:hAnsi="Verdana" w:cs="Arial"/>
          <w:kern w:val="22"/>
          <w:lang w:val="ru-RU"/>
          <w14:cntxtAlts/>
        </w:rPr>
      </w:pPr>
      <w:r w:rsidRPr="00DF5417">
        <w:rPr>
          <w:rFonts w:ascii="Verdana" w:hAnsi="Verdana" w:cs="Arial"/>
          <w:kern w:val="22"/>
          <w:lang w:val="ru-RU"/>
          <w14:cntxtAlts/>
        </w:rPr>
        <w:t>В соответствии с Постановлением Правительства РФ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</w:t>
      </w:r>
      <w:r>
        <w:rPr>
          <w:rFonts w:ascii="Verdana" w:hAnsi="Verdana" w:cs="Arial"/>
          <w:kern w:val="22"/>
          <w:lang w:val="ru-RU"/>
          <w14:cntxtAlts/>
        </w:rPr>
        <w:t>зопасности зданий и сооружений», д</w:t>
      </w:r>
      <w:r w:rsidRPr="00DF5417">
        <w:rPr>
          <w:rFonts w:ascii="Verdana" w:hAnsi="Verdana" w:cs="Arial"/>
          <w:kern w:val="22"/>
          <w:lang w:val="ru-RU"/>
          <w14:cntxtAlts/>
        </w:rPr>
        <w:t xml:space="preserve">ля выполнения работ </w:t>
      </w:r>
      <w:r>
        <w:rPr>
          <w:rFonts w:ascii="Verdana" w:hAnsi="Verdana" w:cs="Arial"/>
          <w:kern w:val="22"/>
          <w:lang w:val="ru-RU"/>
          <w14:cntxtAlts/>
        </w:rPr>
        <w:t>Исполнителю</w:t>
      </w:r>
      <w:r w:rsidRPr="00DF5417">
        <w:rPr>
          <w:rFonts w:ascii="Verdana" w:hAnsi="Verdana" w:cs="Arial"/>
          <w:kern w:val="22"/>
          <w:lang w:val="ru-RU"/>
          <w14:cntxtAlts/>
        </w:rPr>
        <w:t xml:space="preserve"> необходимо иметь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</w:p>
    <w:p w14:paraId="12787CA3" w14:textId="77777777" w:rsidR="00DF5417" w:rsidRPr="00DF5417" w:rsidRDefault="00DF5417" w:rsidP="00DF5417">
      <w:pPr>
        <w:pStyle w:val="aa"/>
        <w:spacing w:before="100" w:beforeAutospacing="1" w:after="100" w:afterAutospacing="1" w:line="240" w:lineRule="auto"/>
        <w:mirrorIndents/>
        <w:rPr>
          <w:rFonts w:ascii="Verdana" w:hAnsi="Verdana" w:cs="Arial"/>
          <w:kern w:val="22"/>
          <w:lang w:val="ru-RU"/>
          <w14:cntxtAlts/>
        </w:rPr>
      </w:pPr>
      <w:r w:rsidRPr="00DF5417">
        <w:rPr>
          <w:rFonts w:ascii="Verdana" w:hAnsi="Verdana" w:cs="Arial"/>
          <w:kern w:val="22"/>
          <w:lang w:val="ru-RU"/>
          <w14:cntxtAlts/>
        </w:rPr>
        <w:t>Вид работ, выполняемых в составе лицензируемого вида деятельности:</w:t>
      </w:r>
    </w:p>
    <w:p w14:paraId="4B3ADE7B" w14:textId="767ECCB9" w:rsidR="00DF5417" w:rsidRDefault="00DF5417" w:rsidP="00DF5417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 w:cs="Arial"/>
          <w:kern w:val="22"/>
          <w:lang w:val="ru-RU"/>
          <w14:cntxtAlts/>
        </w:rPr>
      </w:pPr>
      <w:r w:rsidRPr="00DF5417">
        <w:rPr>
          <w:rFonts w:ascii="Verdana" w:hAnsi="Verdana" w:cs="Arial"/>
          <w:kern w:val="22"/>
          <w:lang w:val="ru-RU"/>
          <w14:cntxtAlts/>
        </w:rPr>
        <w:t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14:paraId="7980D8A1" w14:textId="77777777" w:rsidR="00DF5417" w:rsidRDefault="00DF5417" w:rsidP="00DF5417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lang w:val="ru-RU"/>
        </w:rPr>
      </w:pPr>
    </w:p>
    <w:p w14:paraId="5097CA5C" w14:textId="4A2A137F" w:rsidR="003F45D6" w:rsidRDefault="003F45D6" w:rsidP="003F45D6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Исполнитель 1 и Исполнитель 2 – это может быть один и тот же Исполнитель.</w:t>
      </w:r>
    </w:p>
    <w:p w14:paraId="3CA2F5AF" w14:textId="77777777" w:rsidR="003F45D6" w:rsidRDefault="003F45D6" w:rsidP="003F45D6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 w:cs="Arial"/>
          <w:kern w:val="22"/>
          <w:lang w:val="ru-RU"/>
          <w14:cntxtAlts/>
        </w:rPr>
      </w:pPr>
    </w:p>
    <w:p w14:paraId="4CB7D04B" w14:textId="0BB8EE39" w:rsidR="003F45D6" w:rsidRPr="003F45D6" w:rsidRDefault="003F45D6" w:rsidP="003F45D6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lang w:val="ru-RU"/>
        </w:rPr>
      </w:pPr>
      <w:r>
        <w:rPr>
          <w:rFonts w:ascii="Verdana" w:hAnsi="Verdana" w:cs="Arial"/>
          <w:kern w:val="22"/>
          <w:lang w:val="ru-RU"/>
          <w14:cntxtAlts/>
        </w:rPr>
        <w:t xml:space="preserve">А) 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Перед началом работ </w:t>
      </w:r>
      <w:r>
        <w:rPr>
          <w:rFonts w:ascii="Verdana" w:hAnsi="Verdana" w:cs="Arial"/>
          <w:kern w:val="22"/>
          <w:lang w:val="ru-RU"/>
          <w14:cntxtAlts/>
        </w:rPr>
        <w:t xml:space="preserve">Исполнитель </w:t>
      </w:r>
      <w:r w:rsidRPr="003F45D6">
        <w:rPr>
          <w:rFonts w:ascii="Verdana" w:hAnsi="Verdana" w:cs="Arial"/>
          <w:kern w:val="22"/>
          <w:lang w:val="ru-RU"/>
          <w14:cntxtAlts/>
        </w:rPr>
        <w:t>обязан:</w:t>
      </w:r>
    </w:p>
    <w:p w14:paraId="5CB01B7F" w14:textId="77777777" w:rsidR="003F45D6" w:rsidRDefault="003F45D6" w:rsidP="003F45D6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>направить официально</w:t>
      </w:r>
      <w:r>
        <w:rPr>
          <w:rFonts w:ascii="Verdana" w:hAnsi="Verdana" w:cs="Arial"/>
          <w:kern w:val="22"/>
          <w:lang w:val="ru-RU"/>
          <w14:cntxtAlts/>
        </w:rPr>
        <w:t xml:space="preserve">е письмо, оформленное на бланке 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организации, на имя Заказчика с указанием Ф.И.О., номера телефона, должности ответственного сотрудника </w:t>
      </w:r>
      <w:r>
        <w:rPr>
          <w:rFonts w:ascii="Verdana" w:hAnsi="Verdana" w:cs="Arial"/>
          <w:kern w:val="22"/>
          <w:lang w:val="ru-RU"/>
          <w14:cntxtAlts/>
        </w:rPr>
        <w:t>Исполнителя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 по производству всего перечня работ, сотрудника, находящегося на Объекте в течение всей продолжительности рабочего времени, без которого не должны производиться работы (начальник участка), а также список всех сотрудников, которым необходим допуск на территорию;</w:t>
      </w:r>
    </w:p>
    <w:p w14:paraId="2C4E6453" w14:textId="77777777" w:rsidR="003F45D6" w:rsidRDefault="003F45D6" w:rsidP="003F45D6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>предоставить Заказчику график производства работ;</w:t>
      </w:r>
    </w:p>
    <w:p w14:paraId="705F2FBD" w14:textId="77777777" w:rsidR="003F45D6" w:rsidRDefault="003F45D6" w:rsidP="003F45D6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>принять все меры к обеспечению при выполнении работ сохранности Объекта и расположенного в нем имущества Заказчика и третьих лиц и нести ответственность за совершение действий (бездействия) при выполнении работ, повлекшие за собой утрату или повреждение этого имущества;</w:t>
      </w:r>
    </w:p>
    <w:p w14:paraId="1787F317" w14:textId="44B8DFF2" w:rsidR="003F45D6" w:rsidRDefault="003F45D6" w:rsidP="003F45D6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 xml:space="preserve">выполнить мероприятия по защите внутренних помещений Объекта и расположенного в них имущества от шума, попадания пыли, залива водой, в том числе обеспечить наличие укрывного материала, уборочного инвентаря, бочек, насосов для откачки воды в целях локализации повреждений. При попадании воды или пыли в помещения Объекта или на расположенное в них имущество по причине отсутствия должного укрытия, </w:t>
      </w:r>
      <w:r>
        <w:rPr>
          <w:rFonts w:ascii="Verdana" w:hAnsi="Verdana" w:cs="Arial"/>
          <w:kern w:val="22"/>
          <w:lang w:val="ru-RU"/>
          <w14:cntxtAlts/>
        </w:rPr>
        <w:t>Исполнитель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 обязан возместить причиненный ущерб, в том числе третьим лицам.</w:t>
      </w:r>
    </w:p>
    <w:p w14:paraId="03740FF9" w14:textId="2C68AE11" w:rsidR="00DF5417" w:rsidRPr="003F45D6" w:rsidRDefault="00DF5417" w:rsidP="00DF5417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5585650A" w14:textId="7A6431E9" w:rsidR="003F45D6" w:rsidRPr="003F45D6" w:rsidRDefault="003F45D6" w:rsidP="003F45D6">
      <w:pPr>
        <w:spacing w:before="100" w:beforeAutospacing="1" w:after="100" w:afterAutospacing="1" w:line="240" w:lineRule="auto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 xml:space="preserve">Б) 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В процессе производства работ </w:t>
      </w:r>
      <w:r>
        <w:rPr>
          <w:rFonts w:ascii="Verdana" w:hAnsi="Verdana" w:cs="Arial"/>
          <w:kern w:val="22"/>
          <w:lang w:val="ru-RU"/>
          <w14:cntxtAlts/>
        </w:rPr>
        <w:t>Исполнитель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 обязан:</w:t>
      </w:r>
    </w:p>
    <w:p w14:paraId="33DE827C" w14:textId="54A131A7" w:rsidR="003F45D6" w:rsidRPr="003F45D6" w:rsidRDefault="009A67A3" w:rsidP="009A67A3">
      <w:pPr>
        <w:pStyle w:val="aa"/>
        <w:numPr>
          <w:ilvl w:val="0"/>
          <w:numId w:val="26"/>
        </w:numPr>
        <w:ind w:left="0" w:firstLine="0"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п</w:t>
      </w:r>
      <w:r w:rsidR="003F45D6" w:rsidRPr="003F45D6">
        <w:rPr>
          <w:rFonts w:ascii="Verdana" w:hAnsi="Verdana" w:cs="Arial"/>
          <w:kern w:val="22"/>
          <w:lang w:val="ru-RU"/>
          <w14:cntxtAlts/>
        </w:rPr>
        <w:t>ри выполнении работ на Объекте Исполнитель должен соблюдать действующие правила вну</w:t>
      </w:r>
      <w:r>
        <w:rPr>
          <w:rFonts w:ascii="Verdana" w:hAnsi="Verdana" w:cs="Arial"/>
          <w:kern w:val="22"/>
          <w:lang w:val="ru-RU"/>
          <w14:cntxtAlts/>
        </w:rPr>
        <w:t>триобъектового режима Заказчик;</w:t>
      </w:r>
      <w:r w:rsidR="003F45D6" w:rsidRPr="003F45D6">
        <w:rPr>
          <w:rFonts w:ascii="Verdana" w:hAnsi="Verdana" w:cs="Arial"/>
          <w:kern w:val="22"/>
          <w:lang w:val="ru-RU"/>
          <w14:cntxtAlts/>
        </w:rPr>
        <w:t xml:space="preserve"> </w:t>
      </w:r>
    </w:p>
    <w:p w14:paraId="4E842446" w14:textId="2BEAA54B" w:rsidR="003F45D6" w:rsidRPr="009A67A3" w:rsidRDefault="003F45D6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9A67A3">
        <w:rPr>
          <w:rFonts w:ascii="Verdana" w:hAnsi="Verdana"/>
          <w:lang w:val="ru-RU"/>
        </w:rPr>
        <w:lastRenderedPageBreak/>
        <w:t>Исполнитель обеспечивает наличие постоянного, достаточного для выполнения работ, количества инженерного состава, технического персонала и рабочих требуемых специальностей на Объекте для выполнения работ</w:t>
      </w:r>
      <w:r w:rsidR="009A67A3">
        <w:rPr>
          <w:rFonts w:ascii="Verdana" w:hAnsi="Verdana"/>
          <w:lang w:val="ru-RU"/>
        </w:rPr>
        <w:t>;</w:t>
      </w:r>
    </w:p>
    <w:p w14:paraId="0D0252F6" w14:textId="7DA0A17D" w:rsidR="003F45D6" w:rsidRDefault="003F45D6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>согласовать с Заказчиком работы по подключению к инженерным системам (проведение работ возм</w:t>
      </w:r>
      <w:r w:rsidR="009A67A3">
        <w:rPr>
          <w:rFonts w:ascii="Verdana" w:hAnsi="Verdana" w:cs="Arial"/>
          <w:kern w:val="22"/>
          <w:lang w:val="ru-RU"/>
          <w14:cntxtAlts/>
        </w:rPr>
        <w:t>ожно в определенные дни и часы);</w:t>
      </w:r>
    </w:p>
    <w:p w14:paraId="5A6C6B9F" w14:textId="6850E073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р</w:t>
      </w:r>
      <w:r w:rsidRPr="009A67A3">
        <w:rPr>
          <w:rFonts w:ascii="Verdana" w:hAnsi="Verdana" w:cs="Arial"/>
          <w:kern w:val="22"/>
          <w:lang w:val="ru-RU"/>
          <w14:cntxtAlts/>
        </w:rPr>
        <w:t>абочие выполняют работы в спецодежде, спецобуви, средствах индивидуальной защиты единого образца (типа), в соответствии с нормами выдач</w:t>
      </w:r>
      <w:r>
        <w:rPr>
          <w:rFonts w:ascii="Verdana" w:hAnsi="Verdana" w:cs="Arial"/>
          <w:kern w:val="22"/>
          <w:lang w:val="ru-RU"/>
          <w14:cntxtAlts/>
        </w:rPr>
        <w:t>и утвержденными Минтруда России;</w:t>
      </w:r>
    </w:p>
    <w:p w14:paraId="4A82A7C0" w14:textId="5C788709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у</w:t>
      </w:r>
      <w:r w:rsidRPr="009A67A3">
        <w:rPr>
          <w:rFonts w:ascii="Verdana" w:hAnsi="Verdana" w:cs="Arial"/>
          <w:kern w:val="22"/>
          <w:lang w:val="ru-RU"/>
          <w14:cntxtAlts/>
        </w:rPr>
        <w:t>борку рабочих мест и вывоз образовавшегося мусора, производить ежедневно, в конце рабочего дня.</w:t>
      </w:r>
    </w:p>
    <w:p w14:paraId="3A995713" w14:textId="7C7C187C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с</w:t>
      </w:r>
      <w:r w:rsidRPr="009A67A3">
        <w:rPr>
          <w:rFonts w:ascii="Verdana" w:hAnsi="Verdana" w:cs="Arial"/>
          <w:kern w:val="22"/>
          <w:lang w:val="ru-RU"/>
          <w14:cntxtAlts/>
        </w:rPr>
        <w:t>варочные работы категорически запрещены внутри склада. Допускается сварк</w:t>
      </w:r>
      <w:r>
        <w:rPr>
          <w:rFonts w:ascii="Verdana" w:hAnsi="Verdana" w:cs="Arial"/>
          <w:kern w:val="22"/>
          <w:lang w:val="ru-RU"/>
          <w14:cntxtAlts/>
        </w:rPr>
        <w:t>а отдельных элементов  на улице;</w:t>
      </w:r>
    </w:p>
    <w:p w14:paraId="27AE44C0" w14:textId="17D68D12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р</w:t>
      </w:r>
      <w:r w:rsidRPr="009A67A3">
        <w:rPr>
          <w:rFonts w:ascii="Verdana" w:hAnsi="Verdana" w:cs="Arial"/>
          <w:kern w:val="22"/>
          <w:lang w:val="ru-RU"/>
          <w14:cntxtAlts/>
        </w:rPr>
        <w:t>езательные и шлифовальные работы запрещены внутри склада. Допускается п</w:t>
      </w:r>
      <w:r>
        <w:rPr>
          <w:rFonts w:ascii="Verdana" w:hAnsi="Verdana" w:cs="Arial"/>
          <w:kern w:val="22"/>
          <w:lang w:val="ru-RU"/>
          <w14:cntxtAlts/>
        </w:rPr>
        <w:t>роизводство этих работ на улице;</w:t>
      </w:r>
    </w:p>
    <w:p w14:paraId="518482F4" w14:textId="77777777" w:rsid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с</w:t>
      </w:r>
      <w:r w:rsidRPr="009A67A3">
        <w:rPr>
          <w:rFonts w:ascii="Verdana" w:hAnsi="Verdana" w:cs="Arial"/>
          <w:kern w:val="22"/>
          <w:lang w:val="ru-RU"/>
          <w14:cntxtAlts/>
        </w:rPr>
        <w:t>оединение труб выполнить только с помощью быстро-сое</w:t>
      </w:r>
      <w:r>
        <w:rPr>
          <w:rFonts w:ascii="Verdana" w:hAnsi="Verdana" w:cs="Arial"/>
          <w:kern w:val="22"/>
          <w:lang w:val="ru-RU"/>
          <w14:cntxtAlts/>
        </w:rPr>
        <w:t>динительных муфт фирмы Greenell;</w:t>
      </w:r>
    </w:p>
    <w:p w14:paraId="32D53A2D" w14:textId="480355AB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9A67A3">
        <w:rPr>
          <w:rFonts w:ascii="Verdana" w:hAnsi="Verdana" w:cs="Arial"/>
          <w:kern w:val="22"/>
          <w:lang w:val="ru-RU"/>
          <w14:cntxtAlts/>
        </w:rPr>
        <w:t>монтаж трубопроводов выполняется только механическим способ</w:t>
      </w:r>
      <w:r>
        <w:rPr>
          <w:rFonts w:ascii="Verdana" w:hAnsi="Verdana" w:cs="Arial"/>
          <w:kern w:val="22"/>
          <w:lang w:val="ru-RU"/>
          <w14:cntxtAlts/>
        </w:rPr>
        <w:t>ом без использования эл. Сварки,</w:t>
      </w:r>
    </w:p>
    <w:p w14:paraId="392597FB" w14:textId="3BCD358D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п</w:t>
      </w:r>
      <w:r w:rsidRPr="009A67A3">
        <w:rPr>
          <w:rFonts w:ascii="Verdana" w:hAnsi="Verdana" w:cs="Arial"/>
          <w:kern w:val="22"/>
          <w:lang w:val="ru-RU"/>
          <w14:cntxtAlts/>
        </w:rPr>
        <w:t xml:space="preserve">рожигание отверстий в трубопроводах с помощью горелок или </w:t>
      </w:r>
      <w:r>
        <w:rPr>
          <w:rFonts w:ascii="Verdana" w:hAnsi="Verdana" w:cs="Arial"/>
          <w:kern w:val="22"/>
          <w:lang w:val="ru-RU"/>
          <w14:cntxtAlts/>
        </w:rPr>
        <w:t>эл. сварки также не допускается;</w:t>
      </w:r>
    </w:p>
    <w:p w14:paraId="72444488" w14:textId="31305CE4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о</w:t>
      </w:r>
      <w:r w:rsidRPr="009A67A3">
        <w:rPr>
          <w:rFonts w:ascii="Verdana" w:hAnsi="Verdana" w:cs="Arial"/>
          <w:kern w:val="22"/>
          <w:lang w:val="ru-RU"/>
          <w14:cntxtAlts/>
        </w:rPr>
        <w:t>тверстия в трубопроводах тольк</w:t>
      </w:r>
      <w:r>
        <w:rPr>
          <w:rFonts w:ascii="Verdana" w:hAnsi="Verdana" w:cs="Arial"/>
          <w:kern w:val="22"/>
          <w:lang w:val="ru-RU"/>
          <w14:cntxtAlts/>
        </w:rPr>
        <w:t>о сверлятся электроинструментом;</w:t>
      </w:r>
    </w:p>
    <w:p w14:paraId="40061921" w14:textId="67F3E917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д</w:t>
      </w:r>
      <w:r w:rsidRPr="009A67A3">
        <w:rPr>
          <w:rFonts w:ascii="Verdana" w:hAnsi="Verdana" w:cs="Arial"/>
          <w:kern w:val="22"/>
          <w:lang w:val="ru-RU"/>
          <w14:cntxtAlts/>
        </w:rPr>
        <w:t>ля удешевления проекта допускается приваривать муфтовые резьбы для оросителей</w:t>
      </w:r>
      <w:r>
        <w:rPr>
          <w:rFonts w:ascii="Verdana" w:hAnsi="Verdana" w:cs="Arial"/>
          <w:kern w:val="22"/>
          <w:lang w:val="ru-RU"/>
          <w14:cntxtAlts/>
        </w:rPr>
        <w:t xml:space="preserve"> на трубопроводы до их покраски;</w:t>
      </w:r>
    </w:p>
    <w:p w14:paraId="44FEED6A" w14:textId="688EA5DA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трубы окрашиваются RAL 3001;</w:t>
      </w:r>
    </w:p>
    <w:p w14:paraId="02E6E0F7" w14:textId="45D8BCF0" w:rsidR="009A67A3" w:rsidRP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в</w:t>
      </w:r>
      <w:r w:rsidRPr="009A67A3">
        <w:rPr>
          <w:rFonts w:ascii="Verdana" w:hAnsi="Verdana" w:cs="Arial"/>
          <w:kern w:val="22"/>
          <w:lang w:val="ru-RU"/>
          <w14:cntxtAlts/>
        </w:rPr>
        <w:t>сё оборудование должно иметь национальные сер</w:t>
      </w:r>
      <w:r>
        <w:rPr>
          <w:rFonts w:ascii="Verdana" w:hAnsi="Verdana" w:cs="Arial"/>
          <w:kern w:val="22"/>
          <w:lang w:val="ru-RU"/>
          <w14:cntxtAlts/>
        </w:rPr>
        <w:t>тификаты и сертификаты FM и FdS;</w:t>
      </w:r>
    </w:p>
    <w:p w14:paraId="3C5B5CF0" w14:textId="3B6829EE" w:rsidR="009A67A3" w:rsidRDefault="009A67A3" w:rsidP="009A67A3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в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 процессе производства работ уполномоченные представители Заказчика вправе в любое время посещать места производства работ, осуществлять контроль за ходом работ и результатами их выполнения, а в случае выявления в ходе выполнения работ нарушений или отступлений от проектной документации, технического задания, условий выполнения работ, требований к качеству их выполнения – требовать от </w:t>
      </w:r>
      <w:r>
        <w:rPr>
          <w:rFonts w:ascii="Verdana" w:hAnsi="Verdana" w:cs="Arial"/>
          <w:kern w:val="22"/>
          <w:lang w:val="ru-RU"/>
          <w14:cntxtAlts/>
        </w:rPr>
        <w:t>Исполнителя</w:t>
      </w:r>
      <w:r w:rsidRPr="003F45D6">
        <w:rPr>
          <w:rFonts w:ascii="Verdana" w:hAnsi="Verdana" w:cs="Arial"/>
          <w:kern w:val="22"/>
          <w:lang w:val="ru-RU"/>
          <w14:cntxtAlts/>
        </w:rPr>
        <w:t xml:space="preserve"> устранения выявленных нарушений путем составления соответствующих актов. </w:t>
      </w:r>
    </w:p>
    <w:p w14:paraId="15F4C4AA" w14:textId="77777777" w:rsidR="009A67A3" w:rsidRDefault="009A67A3" w:rsidP="009A67A3">
      <w:pPr>
        <w:pStyle w:val="aa"/>
        <w:numPr>
          <w:ilvl w:val="0"/>
          <w:numId w:val="26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 w:cs="Arial"/>
          <w:kern w:val="22"/>
          <w:lang w:val="ru-RU"/>
          <w14:cntxtAlts/>
        </w:rPr>
      </w:pPr>
      <w:r w:rsidRPr="00D801B4">
        <w:rPr>
          <w:rFonts w:ascii="Verdana" w:hAnsi="Verdana" w:cs="Arial"/>
          <w:kern w:val="22"/>
          <w:lang w:val="ru-RU"/>
          <w14:cntxtAlts/>
        </w:rPr>
        <w:t>Исполнитель обязан передать Исполнительную документацию (в электронном (DWG и PDF) и бумажном виде, не менее чем в 2-х экземплярах):</w:t>
      </w:r>
    </w:p>
    <w:p w14:paraId="6A297550" w14:textId="77777777" w:rsidR="009A67A3" w:rsidRDefault="009A67A3" w:rsidP="009A67A3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 w:cs="Arial"/>
          <w:kern w:val="22"/>
          <w:lang w:val="ru-RU"/>
          <w14:cntxtAlts/>
        </w:rPr>
      </w:pPr>
      <w:r w:rsidRPr="00D801B4">
        <w:rPr>
          <w:rFonts w:ascii="Verdana" w:hAnsi="Verdana" w:cs="Arial"/>
          <w:kern w:val="22"/>
          <w:lang w:val="ru-RU"/>
          <w14:cntxtAlts/>
        </w:rPr>
        <w:t>Которая представляет собой текстовые и графические материалы, отражающие фактическое исполнение проектных решений по мере завершения определенных в проектной документации работ.</w:t>
      </w:r>
    </w:p>
    <w:p w14:paraId="261D73A4" w14:textId="77D110D8" w:rsidR="009A67A3" w:rsidRDefault="009A67A3" w:rsidP="009A67A3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 w:cs="Arial"/>
          <w:kern w:val="22"/>
          <w:lang w:val="ru-RU"/>
          <w14:cntxtAlts/>
        </w:rPr>
      </w:pPr>
      <w:r w:rsidRPr="00E64E47">
        <w:rPr>
          <w:rFonts w:ascii="Verdana" w:hAnsi="Verdana" w:cs="Arial"/>
          <w:kern w:val="22"/>
          <w:lang w:val="ru-RU"/>
          <w14:cntxtAlts/>
        </w:rPr>
        <w:t>В том числе: Исполнительные чертежи смонтированной системы спринклерного пожаротушения, установленного оборудования, паспорта на них, инструкции, схемы, сертификаты, журналы, акты монтажа и т.д.</w:t>
      </w:r>
    </w:p>
    <w:p w14:paraId="5CB35E9F" w14:textId="77777777" w:rsidR="009A67A3" w:rsidRDefault="009A67A3" w:rsidP="009A67A3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6E108CF9" w14:textId="77777777" w:rsidR="003F45D6" w:rsidRDefault="003F45D6" w:rsidP="003F45D6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5F7A4B5C" w14:textId="3291C07A" w:rsidR="003F45D6" w:rsidRDefault="003F45D6" w:rsidP="003F45D6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 xml:space="preserve">В) </w:t>
      </w:r>
      <w:r w:rsidRPr="003F45D6">
        <w:rPr>
          <w:rFonts w:ascii="Verdana" w:hAnsi="Verdana" w:cs="Arial"/>
          <w:kern w:val="22"/>
          <w:lang w:val="ru-RU"/>
          <w14:cntxtAlts/>
        </w:rPr>
        <w:t>Качество выполняемых работ, применяемых материалов</w:t>
      </w:r>
      <w:r w:rsidR="009A67A3">
        <w:rPr>
          <w:rFonts w:ascii="Verdana" w:hAnsi="Verdana" w:cs="Arial"/>
          <w:kern w:val="22"/>
          <w:lang w:val="ru-RU"/>
          <w14:cntxtAlts/>
        </w:rPr>
        <w:t>.</w:t>
      </w:r>
    </w:p>
    <w:p w14:paraId="40BC830B" w14:textId="455EE08D" w:rsidR="003F45D6" w:rsidRPr="009A67A3" w:rsidRDefault="003F45D6" w:rsidP="009A67A3">
      <w:pPr>
        <w:spacing w:before="100" w:beforeAutospacing="1" w:after="100" w:afterAutospacing="1" w:line="240" w:lineRule="auto"/>
        <w:mirrorIndents/>
        <w:rPr>
          <w:rFonts w:ascii="Verdana" w:hAnsi="Verdana" w:cs="Arial"/>
          <w:kern w:val="22"/>
          <w:lang w:val="ru-RU"/>
          <w14:cntxtAlts/>
        </w:rPr>
      </w:pPr>
      <w:r w:rsidRPr="009A67A3">
        <w:rPr>
          <w:rFonts w:ascii="Verdana" w:hAnsi="Verdana" w:cs="Arial"/>
          <w:kern w:val="22"/>
          <w:lang w:val="ru-RU"/>
          <w14:cntxtAlts/>
        </w:rPr>
        <w:t>Качество выполняемых работ, применяемых материалов определяется в соответствии с требованиями:</w:t>
      </w:r>
    </w:p>
    <w:p w14:paraId="1AFC1903" w14:textId="66D194CD" w:rsidR="003F45D6" w:rsidRDefault="003F45D6" w:rsidP="003F45D6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lastRenderedPageBreak/>
        <w:t>СП 44.13330.2011. Свод правил. Административные и бытовые здания. Актуализированная редакция СНиП 2.09.04-87» (утв. Приказом Минрегиона РФ от 27.12.2010 № 782),</w:t>
      </w:r>
    </w:p>
    <w:p w14:paraId="4E1D015B" w14:textId="77777777" w:rsidR="003F45D6" w:rsidRDefault="003F45D6" w:rsidP="003F45D6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>СП 40-103-98. Система нормативных документов в строительстве. Свод правил по проектированию и строительству. Проектирование и монтаж трубопроводов систем холодного и горячего внутреннего водоснабжения с использованием металлополимерных труб» (одобрен Письмом Госстроя РФ от 26.06.1998 № 13-362),</w:t>
      </w:r>
    </w:p>
    <w:p w14:paraId="52F29C87" w14:textId="77777777" w:rsidR="003F45D6" w:rsidRDefault="003F45D6" w:rsidP="003F45D6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>Приказ МЧС России от 31.08.2020 № 628 «Об утверждении свода правил «Системы противопожарной защиты. Установки пожаротушения автоматические. Нормы и правила проектирования» (вместе с «СП 485.1311500.2020. Свод правил. Системы противопожарной защиты. Установки пожаротушения автоматические. Нормы и правила проектирования»),</w:t>
      </w:r>
    </w:p>
    <w:p w14:paraId="65B5C96F" w14:textId="414094F6" w:rsidR="003F45D6" w:rsidRDefault="003F45D6" w:rsidP="003F45D6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3F45D6">
        <w:rPr>
          <w:rFonts w:ascii="Verdana" w:hAnsi="Verdana" w:cs="Arial"/>
          <w:kern w:val="22"/>
          <w:lang w:val="ru-RU"/>
          <w14:cntxtAlts/>
        </w:rPr>
        <w:t>иными нормативно-правовыми актами Российской Федерации, регулирующими вопросы, связанные с качеством выполняемых работ и используемых материалов.</w:t>
      </w:r>
    </w:p>
    <w:p w14:paraId="659F8A91" w14:textId="65593209" w:rsid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29E160DB" w14:textId="7BB42218" w:rsid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 xml:space="preserve">Г) </w:t>
      </w:r>
      <w:r w:rsidRPr="00E3710C">
        <w:rPr>
          <w:rFonts w:ascii="Verdana" w:hAnsi="Verdana" w:cs="Arial"/>
          <w:kern w:val="22"/>
          <w:lang w:val="ru-RU"/>
          <w14:cntxtAlts/>
        </w:rPr>
        <w:t>Иные требования к материалам и оборудованию, применяемым при выполнении работ</w:t>
      </w:r>
      <w:r>
        <w:rPr>
          <w:rFonts w:ascii="Verdana" w:hAnsi="Verdana" w:cs="Arial"/>
          <w:kern w:val="22"/>
          <w:lang w:val="ru-RU"/>
          <w14:cntxtAlts/>
        </w:rPr>
        <w:t>.</w:t>
      </w:r>
    </w:p>
    <w:p w14:paraId="65122B35" w14:textId="77777777" w:rsid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56FBCC9C" w14:textId="1CE08FC0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 xml:space="preserve">Всё необходимое оборудование и материалы </w:t>
      </w:r>
      <w:r>
        <w:rPr>
          <w:rFonts w:ascii="Verdana" w:hAnsi="Verdana" w:cs="Arial"/>
          <w:kern w:val="22"/>
          <w:lang w:val="ru-RU"/>
          <w14:cntxtAlts/>
        </w:rPr>
        <w:t xml:space="preserve">должны быть </w:t>
      </w:r>
      <w:r w:rsidRPr="00E3710C">
        <w:rPr>
          <w:rFonts w:ascii="Verdana" w:hAnsi="Verdana" w:cs="Arial"/>
          <w:kern w:val="22"/>
          <w:lang w:val="ru-RU"/>
          <w14:cntxtAlts/>
        </w:rPr>
        <w:t>указаны в сметной документации с указанием подробных требований, все вышеперечисленное подобранно тщательно по техническим и функциональным характеристикам, в соответствии с действующими нормами, правилам и совместимости с существующими габаритами, функциональными характеристиками</w:t>
      </w:r>
      <w:r>
        <w:rPr>
          <w:rFonts w:ascii="Verdana" w:hAnsi="Verdana" w:cs="Arial"/>
          <w:kern w:val="22"/>
          <w:lang w:val="ru-RU"/>
          <w14:cntxtAlts/>
        </w:rPr>
        <w:t xml:space="preserve"> и инженерными системами здания</w:t>
      </w:r>
      <w:r w:rsidRPr="00E3710C">
        <w:rPr>
          <w:rFonts w:ascii="Verdana" w:hAnsi="Verdana" w:cs="Arial"/>
          <w:kern w:val="22"/>
          <w:lang w:val="ru-RU"/>
          <w14:cntxtAlts/>
        </w:rPr>
        <w:t xml:space="preserve">. </w:t>
      </w:r>
    </w:p>
    <w:p w14:paraId="1E2D8837" w14:textId="73C7C441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 xml:space="preserve">В ходе проведения работ любая замена оборудования и материалов может производиться </w:t>
      </w:r>
      <w:r>
        <w:rPr>
          <w:rFonts w:ascii="Verdana" w:hAnsi="Verdana" w:cs="Arial"/>
          <w:kern w:val="22"/>
          <w:lang w:val="ru-RU"/>
          <w14:cntxtAlts/>
        </w:rPr>
        <w:t>Исполнителем</w:t>
      </w:r>
      <w:r w:rsidRPr="00E3710C">
        <w:rPr>
          <w:rFonts w:ascii="Verdana" w:hAnsi="Verdana" w:cs="Arial"/>
          <w:kern w:val="22"/>
          <w:lang w:val="ru-RU"/>
          <w14:cntxtAlts/>
        </w:rPr>
        <w:t>, только после обоснования необходимости такой замены с указанием подробных характеристик товаров, приложением технологических карт (при необходимости) и письменного согласования со стороны Заказчика, т.к. согласно п. 1 ст. 761 ГКРФ: «Подрядчик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работ, включая недостатки, обнаруженные впоследствии в ходе строительства, а также в процессе эксплуатации объекта, созданного на основе технической документации и данных изыскательских работ». При этом увеличение срока или стоимости работ не допускается.</w:t>
      </w:r>
    </w:p>
    <w:p w14:paraId="53CF7807" w14:textId="77777777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Не допускается:</w:t>
      </w:r>
    </w:p>
    <w:p w14:paraId="593C7A69" w14:textId="22211422" w:rsidR="00E3710C" w:rsidRDefault="00E3710C" w:rsidP="00E3710C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Установка аналогов материалов без сертификата (например, сертификат огнестойкости, сертиф</w:t>
      </w:r>
      <w:r>
        <w:rPr>
          <w:rFonts w:ascii="Verdana" w:hAnsi="Verdana" w:cs="Arial"/>
          <w:kern w:val="22"/>
          <w:lang w:val="ru-RU"/>
          <w14:cntxtAlts/>
        </w:rPr>
        <w:t>икат энергоэфективности и т.п.);</w:t>
      </w:r>
    </w:p>
    <w:p w14:paraId="0030EE22" w14:textId="2B2F048E" w:rsidR="00E3710C" w:rsidRPr="00E3710C" w:rsidRDefault="00E3710C" w:rsidP="00E3710C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замена товаров, указанных в сметной документации на эквиваленты без внесения в установленном порядке изменений в утвержденную проектно-сметную документацию.</w:t>
      </w:r>
    </w:p>
    <w:p w14:paraId="1F84629D" w14:textId="7B03C9AF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 xml:space="preserve">При выполнении работ Подрядчик несет все расходы по закупке необходимого количества и наличию необходимого запаса материалов, оборудования и техники для производства работ. Все материалы должны иметь соответствующие сертификаты. </w:t>
      </w:r>
    </w:p>
    <w:p w14:paraId="34C7DACE" w14:textId="77777777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Материалы и оборудование должны быть новыми, надлежащего качества, чистыми, в полностью исправном состоянии, без повреждений, дефектов, связанных с качеством их изготовления, либо с каче</w:t>
      </w:r>
      <w:r w:rsidRPr="00E3710C">
        <w:rPr>
          <w:rFonts w:ascii="Verdana" w:hAnsi="Verdana" w:cs="Arial"/>
          <w:kern w:val="22"/>
          <w:lang w:val="ru-RU"/>
          <w14:cntxtAlts/>
        </w:rPr>
        <w:lastRenderedPageBreak/>
        <w:t xml:space="preserve">ством используемых при его изготовлении компонентов. Новыми считаются материалы, оборудование которые не были в употреблении, не прошли ремонт, в том числе восстановление, замену составных частей, восстановление потребительских свойств. </w:t>
      </w:r>
    </w:p>
    <w:p w14:paraId="7221EC65" w14:textId="77777777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На момент передачи Заказчику оборудование и материалы не должны быть обременены какими-либо правами или требованиями третьих лиц.</w:t>
      </w:r>
    </w:p>
    <w:p w14:paraId="1A76DD8C" w14:textId="77777777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Оборудование и материалы должны быть сертифицированы и/или иметь декларацию о соответствии.</w:t>
      </w:r>
    </w:p>
    <w:p w14:paraId="622B9637" w14:textId="310D5004" w:rsid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Изделия должны быть заводского исполнения в заводской комплектации и иметь упаковку без следов вскрытия.</w:t>
      </w:r>
    </w:p>
    <w:p w14:paraId="66C38085" w14:textId="73A0E0DC" w:rsid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7DDF5486" w14:textId="05D6F828" w:rsid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>
        <w:rPr>
          <w:rFonts w:ascii="Verdana" w:hAnsi="Verdana" w:cs="Arial"/>
          <w:kern w:val="22"/>
          <w:lang w:val="ru-RU"/>
          <w14:cntxtAlts/>
        </w:rPr>
        <w:t>Д) Ответственность</w:t>
      </w:r>
    </w:p>
    <w:p w14:paraId="22FACD75" w14:textId="3E660034" w:rsid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</w:p>
    <w:p w14:paraId="6A22AC38" w14:textId="0D233050" w:rsidR="00E3710C" w:rsidRPr="00E3710C" w:rsidRDefault="00E3710C" w:rsidP="00E3710C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Подрядчик берет на себя обязательства по возмещению ущерба, причинённого в результате аварии, вызванной неправильными действиями персонала Подрядчика, повлекшими причинение ущерба, в том числе третьим лицам с момента начала работ и до окончания гарантийного срока.</w:t>
      </w:r>
    </w:p>
    <w:p w14:paraId="3A481BB2" w14:textId="07D83AD1" w:rsidR="0043359F" w:rsidRPr="00091034" w:rsidRDefault="0043359F" w:rsidP="003F45D6">
      <w:pPr>
        <w:spacing w:after="0" w:line="240" w:lineRule="auto"/>
        <w:rPr>
          <w:rFonts w:ascii="Verdana" w:hAnsi="Verdana"/>
          <w:lang w:val="ru-RU"/>
        </w:rPr>
      </w:pPr>
    </w:p>
    <w:p w14:paraId="0AF31701" w14:textId="74B5380B" w:rsidR="00150182" w:rsidRPr="00091034" w:rsidRDefault="0043359F" w:rsidP="003F45D6">
      <w:pPr>
        <w:pStyle w:val="2"/>
        <w:ind w:left="0" w:firstLine="0"/>
      </w:pPr>
      <w:bookmarkStart w:id="43" w:name="_Toc84854376"/>
      <w:bookmarkStart w:id="44" w:name="_Toc84854377"/>
      <w:bookmarkEnd w:id="43"/>
      <w:r w:rsidRPr="00091034">
        <w:t>Срок действия Договора</w:t>
      </w:r>
      <w:bookmarkEnd w:id="44"/>
    </w:p>
    <w:p w14:paraId="0E3227E9" w14:textId="3FBB690F" w:rsidR="00AB77F7" w:rsidRPr="00091034" w:rsidRDefault="00FB68F5" w:rsidP="003F45D6">
      <w:p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До исполнения обезательств </w:t>
      </w:r>
    </w:p>
    <w:p w14:paraId="72C6D63B" w14:textId="0EF1C559" w:rsidR="00EA5761" w:rsidRPr="00091034" w:rsidRDefault="00EA5761" w:rsidP="003F45D6">
      <w:pPr>
        <w:spacing w:after="0" w:line="240" w:lineRule="auto"/>
        <w:rPr>
          <w:rFonts w:ascii="Verdana" w:hAnsi="Verdana"/>
          <w:lang w:val="ru-RU"/>
        </w:rPr>
      </w:pPr>
      <w:bookmarkStart w:id="45" w:name="_Toc517902237"/>
      <w:bookmarkStart w:id="46" w:name="_Toc517903088"/>
      <w:bookmarkStart w:id="47" w:name="_Toc73017958"/>
      <w:bookmarkEnd w:id="45"/>
      <w:bookmarkEnd w:id="46"/>
      <w:bookmarkEnd w:id="47"/>
    </w:p>
    <w:p w14:paraId="38FCB730" w14:textId="77777777" w:rsidR="00E25A1B" w:rsidRPr="00091034" w:rsidRDefault="00E25A1B" w:rsidP="003F45D6">
      <w:pPr>
        <w:pStyle w:val="2"/>
        <w:spacing w:line="240" w:lineRule="auto"/>
        <w:ind w:left="0" w:firstLine="0"/>
        <w:rPr>
          <w:rFonts w:ascii="Verdana" w:hAnsi="Verdana"/>
        </w:rPr>
      </w:pPr>
      <w:bookmarkStart w:id="48" w:name="_Toc472351086"/>
      <w:bookmarkStart w:id="49" w:name="_Toc472412717"/>
      <w:bookmarkStart w:id="50" w:name="_Toc472412735"/>
      <w:bookmarkStart w:id="51" w:name="_Toc513111865"/>
      <w:bookmarkStart w:id="52" w:name="_Toc513193640"/>
      <w:bookmarkStart w:id="53" w:name="_Toc513193650"/>
      <w:bookmarkStart w:id="54" w:name="_Toc513193688"/>
      <w:bookmarkStart w:id="55" w:name="_Toc513220066"/>
      <w:bookmarkStart w:id="56" w:name="_Toc514681492"/>
      <w:bookmarkStart w:id="57" w:name="_Toc514681502"/>
      <w:bookmarkStart w:id="58" w:name="_Toc514681512"/>
      <w:bookmarkStart w:id="59" w:name="_Toc517901920"/>
      <w:bookmarkStart w:id="60" w:name="_Toc517901930"/>
      <w:bookmarkStart w:id="61" w:name="_Toc517901940"/>
      <w:bookmarkStart w:id="62" w:name="_Toc517902087"/>
      <w:bookmarkStart w:id="63" w:name="_Toc517902123"/>
      <w:bookmarkStart w:id="64" w:name="_Toc517902133"/>
      <w:bookmarkStart w:id="65" w:name="_Toc517902240"/>
      <w:bookmarkStart w:id="66" w:name="_Toc517902467"/>
      <w:bookmarkStart w:id="67" w:name="_Toc84854378"/>
      <w:r w:rsidRPr="00091034">
        <w:rPr>
          <w:rFonts w:ascii="Verdana" w:hAnsi="Verdana"/>
        </w:rPr>
        <w:t>Интеллектуальная собственность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20C7BF0" w14:textId="77777777" w:rsidR="005152D8" w:rsidRPr="00091034" w:rsidRDefault="005152D8" w:rsidP="003F45D6">
      <w:pPr>
        <w:spacing w:after="0" w:line="240" w:lineRule="auto"/>
        <w:rPr>
          <w:rFonts w:ascii="Verdana" w:hAnsi="Verdana"/>
          <w:lang w:val="ru-RU"/>
        </w:rPr>
      </w:pPr>
    </w:p>
    <w:p w14:paraId="43FB7550" w14:textId="225B5035" w:rsidR="00E25A1B" w:rsidRPr="00091034" w:rsidRDefault="00E25A1B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</w:t>
      </w:r>
    </w:p>
    <w:p w14:paraId="2D404830" w14:textId="77777777" w:rsidR="00061BB7" w:rsidRPr="00091034" w:rsidRDefault="00061BB7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1529A7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1DBE4D59" w:rsidR="00FF5A18" w:rsidRPr="00091034" w:rsidRDefault="00F63364" w:rsidP="003F45D6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59DC1FBC" w14:textId="77777777" w:rsidR="00FF5A18" w:rsidRPr="00091034" w:rsidRDefault="00FF5A18" w:rsidP="003F45D6">
      <w:pPr>
        <w:spacing w:after="0" w:line="240" w:lineRule="auto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945"/>
        <w:gridCol w:w="2249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3F45D6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3F45D6">
            <w:pPr>
              <w:pStyle w:val="TabelleKopf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42A005F9" w:rsidR="00E25A1B" w:rsidRPr="00091034" w:rsidRDefault="00E25A1B" w:rsidP="003F45D6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2528C33E" w:rsidR="00C82515" w:rsidRPr="00091034" w:rsidRDefault="001E4D41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3F45D6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997"/>
        <w:gridCol w:w="592"/>
        <w:gridCol w:w="4804"/>
        <w:gridCol w:w="708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3F45D6">
            <w:pPr>
              <w:pStyle w:val="TabelleKopf"/>
              <w:spacing w:line="240" w:lineRule="auto"/>
              <w:ind w:left="0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3F45D6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FB68F5" w14:paraId="374C6B4C" w14:textId="77777777" w:rsidTr="00740042">
        <w:trPr>
          <w:cantSplit/>
        </w:trPr>
        <w:tc>
          <w:tcPr>
            <w:tcW w:w="1647" w:type="pct"/>
          </w:tcPr>
          <w:p w14:paraId="7C0BFE69" w14:textId="2E082FD3" w:rsidR="00505B6A" w:rsidRPr="00091034" w:rsidRDefault="00505B6A" w:rsidP="003F45D6">
            <w:pPr>
              <w:pStyle w:val="TabelleFu"/>
              <w:suppressAutoHyphens/>
              <w:spacing w:line="240" w:lineRule="auto"/>
              <w:ind w:left="0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3F45D6">
            <w:pPr>
              <w:pStyle w:val="a8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3F45D6">
            <w:pPr>
              <w:pStyle w:val="a8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3F45D6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3F45D6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E74272" w:rsidRPr="00505B6A" w:rsidRDefault="00E74272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E74272" w:rsidRPr="00505B6A" w:rsidRDefault="00E74272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3F45D6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7E72CF79" w:rsidR="00505B6A" w:rsidRPr="00091034" w:rsidRDefault="004E363A" w:rsidP="003F45D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</w:t>
            </w:r>
            <w:r w:rsidR="00F63364">
              <w:rPr>
                <w:rStyle w:val="a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3F45D6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3F45D6">
      <w:pPr>
        <w:suppressAutoHyphens/>
        <w:spacing w:after="0" w:line="240" w:lineRule="auto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lastRenderedPageBreak/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3F45D6">
      <w:pPr>
        <w:spacing w:after="0" w:line="240" w:lineRule="auto"/>
        <w:jc w:val="both"/>
        <w:rPr>
          <w:rFonts w:ascii="Verdana" w:hAnsi="Verdana"/>
          <w:color w:val="FF0000"/>
          <w:lang w:val="ru-RU"/>
        </w:rPr>
      </w:pPr>
    </w:p>
    <w:p w14:paraId="4CFF38B0" w14:textId="2E9A7CC1" w:rsidR="00A74ED1" w:rsidRPr="00091034" w:rsidRDefault="00A74ED1" w:rsidP="003F45D6">
      <w:pPr>
        <w:pStyle w:val="2"/>
        <w:spacing w:line="240" w:lineRule="auto"/>
        <w:ind w:left="0" w:firstLine="0"/>
        <w:rPr>
          <w:rFonts w:ascii="Verdana" w:hAnsi="Verdana"/>
          <w:lang w:val="en-US"/>
        </w:rPr>
      </w:pPr>
      <w:bookmarkStart w:id="68" w:name="_Toc472351087"/>
      <w:bookmarkStart w:id="69" w:name="_Toc472412718"/>
      <w:bookmarkStart w:id="70" w:name="_Toc472412736"/>
      <w:bookmarkStart w:id="71" w:name="_Toc513111866"/>
      <w:bookmarkStart w:id="72" w:name="_Toc513193641"/>
      <w:bookmarkStart w:id="73" w:name="_Toc513193651"/>
      <w:bookmarkStart w:id="74" w:name="_Toc513193689"/>
      <w:bookmarkStart w:id="75" w:name="_Toc513220067"/>
      <w:bookmarkStart w:id="76" w:name="_Toc514681493"/>
      <w:bookmarkStart w:id="77" w:name="_Toc514681503"/>
      <w:bookmarkStart w:id="78" w:name="_Toc514681513"/>
      <w:bookmarkStart w:id="79" w:name="_Toc517901921"/>
      <w:bookmarkStart w:id="80" w:name="_Toc517901931"/>
      <w:bookmarkStart w:id="81" w:name="_Toc517901941"/>
      <w:bookmarkStart w:id="82" w:name="_Toc517902088"/>
      <w:bookmarkStart w:id="83" w:name="_Toc517902124"/>
      <w:bookmarkStart w:id="84" w:name="_Toc517902134"/>
      <w:bookmarkStart w:id="85" w:name="_Toc517902241"/>
      <w:bookmarkStart w:id="86" w:name="_Toc517902468"/>
      <w:bookmarkStart w:id="87" w:name="_Toc84854379"/>
      <w:r w:rsidRPr="00091034">
        <w:rPr>
          <w:rFonts w:ascii="Verdana" w:hAnsi="Verdana"/>
        </w:rPr>
        <w:t>Персональные данные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418FEDE0" w14:textId="40868BA3" w:rsidR="00DE4081" w:rsidRPr="00091034" w:rsidRDefault="00DE4081" w:rsidP="003F45D6">
      <w:pPr>
        <w:pStyle w:val="2"/>
        <w:numPr>
          <w:ilvl w:val="0"/>
          <w:numId w:val="0"/>
        </w:numPr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1529A7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3F45D6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C5FEC1" w:rsidR="00DE4081" w:rsidRPr="00091034" w:rsidRDefault="00F63364" w:rsidP="003F45D6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FB68F5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3F45D6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3F45D6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B68F5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3F45D6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3F45D6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B68F5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3F45D6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3F45D6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3F45D6">
      <w:pPr>
        <w:spacing w:after="0" w:line="240" w:lineRule="auto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939" w:type="pct"/>
        <w:tblLook w:val="0600" w:firstRow="0" w:lastRow="0" w:firstColumn="0" w:lastColumn="0" w:noHBand="1" w:noVBand="1"/>
      </w:tblPr>
      <w:tblGrid>
        <w:gridCol w:w="4139"/>
        <w:gridCol w:w="5237"/>
      </w:tblGrid>
      <w:tr w:rsidR="00564DF1" w:rsidRPr="00DF514E" w14:paraId="2019C2A3" w14:textId="77777777" w:rsidTr="00290A2D">
        <w:trPr>
          <w:cantSplit/>
        </w:trPr>
        <w:tc>
          <w:tcPr>
            <w:tcW w:w="2207" w:type="pct"/>
          </w:tcPr>
          <w:p w14:paraId="6D884135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Перечень персональных данных</w:t>
            </w:r>
          </w:p>
        </w:tc>
        <w:tc>
          <w:tcPr>
            <w:tcW w:w="2793" w:type="pct"/>
          </w:tcPr>
          <w:p w14:paraId="1F3A7150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115BC8">
              <w:rPr>
                <w:rFonts w:asciiTheme="minorHAnsi" w:hAnsiTheme="minorHAnsi" w:cstheme="minorHAnsi"/>
              </w:rPr>
              <w:t>ФИО</w:t>
            </w:r>
          </w:p>
        </w:tc>
      </w:tr>
      <w:tr w:rsidR="00564DF1" w:rsidRPr="00EE56FD" w14:paraId="23C50D16" w14:textId="77777777" w:rsidTr="00290A2D">
        <w:trPr>
          <w:cantSplit/>
        </w:trPr>
        <w:tc>
          <w:tcPr>
            <w:tcW w:w="2207" w:type="pct"/>
          </w:tcPr>
          <w:p w14:paraId="174CA003" w14:textId="77777777" w:rsidR="00564DF1" w:rsidRPr="00DF514E" w:rsidRDefault="00564DF1" w:rsidP="003F45D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bCs/>
                <w:sz w:val="20"/>
                <w:szCs w:val="20"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793" w:type="pct"/>
          </w:tcPr>
          <w:p w14:paraId="71A360CA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нет</w:t>
            </w:r>
          </w:p>
        </w:tc>
      </w:tr>
      <w:tr w:rsidR="00564DF1" w:rsidRPr="00EE56FD" w14:paraId="5A8BB539" w14:textId="77777777" w:rsidTr="00290A2D">
        <w:trPr>
          <w:cantSplit/>
          <w:trHeight w:val="1268"/>
        </w:trPr>
        <w:tc>
          <w:tcPr>
            <w:tcW w:w="2207" w:type="pct"/>
          </w:tcPr>
          <w:p w14:paraId="5993C774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bCs/>
                <w:sz w:val="20"/>
                <w:szCs w:val="20"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793" w:type="pct"/>
          </w:tcPr>
          <w:p w14:paraId="15578B67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нет</w:t>
            </w:r>
          </w:p>
        </w:tc>
      </w:tr>
      <w:tr w:rsidR="00564DF1" w:rsidRPr="00EE56FD" w14:paraId="0FAFAADC" w14:textId="77777777" w:rsidTr="00290A2D">
        <w:trPr>
          <w:cantSplit/>
        </w:trPr>
        <w:tc>
          <w:tcPr>
            <w:tcW w:w="2207" w:type="pct"/>
          </w:tcPr>
          <w:p w14:paraId="3CB43E7F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bCs/>
                <w:sz w:val="20"/>
                <w:szCs w:val="20"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69CE7277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</w:p>
        </w:tc>
        <w:tc>
          <w:tcPr>
            <w:tcW w:w="2793" w:type="pct"/>
          </w:tcPr>
          <w:p w14:paraId="300A2163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нет</w:t>
            </w:r>
          </w:p>
        </w:tc>
      </w:tr>
      <w:tr w:rsidR="00564DF1" w:rsidRPr="00DF514E" w14:paraId="41B16549" w14:textId="77777777" w:rsidTr="00290A2D">
        <w:trPr>
          <w:cantSplit/>
        </w:trPr>
        <w:tc>
          <w:tcPr>
            <w:tcW w:w="2207" w:type="pct"/>
          </w:tcPr>
          <w:p w14:paraId="613A6FDE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Цель (и) обработки персональных данных </w:t>
            </w:r>
          </w:p>
          <w:p w14:paraId="19E28F76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793" w:type="pct"/>
          </w:tcPr>
          <w:p w14:paraId="23A6665B" w14:textId="77777777" w:rsidR="00564DF1" w:rsidRPr="00DF514E" w:rsidRDefault="00564DF1" w:rsidP="003F45D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115BC8">
              <w:rPr>
                <w:rFonts w:asciiTheme="minorHAnsi" w:hAnsiTheme="minorHAnsi" w:cstheme="minorHAnsi"/>
              </w:rPr>
              <w:t>Для оформления пропусков</w:t>
            </w:r>
          </w:p>
        </w:tc>
      </w:tr>
    </w:tbl>
    <w:p w14:paraId="0E16FADF" w14:textId="3555BF77" w:rsidR="00533A21" w:rsidRPr="00091034" w:rsidRDefault="00533A21" w:rsidP="003F45D6">
      <w:pPr>
        <w:spacing w:after="0" w:line="240" w:lineRule="auto"/>
        <w:jc w:val="both"/>
        <w:rPr>
          <w:rFonts w:ascii="Verdana" w:hAnsi="Verdana"/>
          <w:bCs/>
          <w:lang w:val="ru-RU"/>
        </w:rPr>
      </w:pPr>
    </w:p>
    <w:p w14:paraId="0553384D" w14:textId="0C27CC24" w:rsidR="00533A21" w:rsidRPr="00091034" w:rsidRDefault="00533A21" w:rsidP="003F45D6">
      <w:pPr>
        <w:spacing w:after="0" w:line="240" w:lineRule="auto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3F45D6">
      <w:pPr>
        <w:spacing w:after="0" w:line="240" w:lineRule="auto"/>
        <w:jc w:val="both"/>
        <w:rPr>
          <w:rFonts w:ascii="Verdana" w:hAnsi="Verdana"/>
          <w:bCs/>
          <w:lang w:val="ru-RU"/>
        </w:rPr>
      </w:pPr>
    </w:p>
    <w:p w14:paraId="3C0A71D0" w14:textId="7BC06AEA" w:rsidR="005E28AD" w:rsidRPr="00091034" w:rsidRDefault="00383467" w:rsidP="003F45D6">
      <w:pPr>
        <w:pStyle w:val="2"/>
        <w:spacing w:line="240" w:lineRule="auto"/>
        <w:ind w:left="0" w:firstLine="0"/>
        <w:rPr>
          <w:rFonts w:ascii="Verdana" w:hAnsi="Verdana"/>
        </w:rPr>
      </w:pPr>
      <w:bookmarkStart w:id="88" w:name="_Toc84854380"/>
      <w:bookmarkStart w:id="89" w:name="_Toc398126287"/>
      <w:bookmarkStart w:id="90" w:name="_Toc481591508"/>
      <w:r w:rsidRPr="00091034">
        <w:rPr>
          <w:rFonts w:ascii="Verdana" w:hAnsi="Verdana"/>
        </w:rPr>
        <w:t>Отчетность</w:t>
      </w:r>
      <w:bookmarkEnd w:id="88"/>
      <w:r w:rsidR="005E28AD" w:rsidRPr="00091034">
        <w:rPr>
          <w:rFonts w:ascii="Verdana" w:hAnsi="Verdana"/>
        </w:rPr>
        <w:t xml:space="preserve"> </w:t>
      </w:r>
      <w:bookmarkEnd w:id="89"/>
      <w:bookmarkEnd w:id="90"/>
    </w:p>
    <w:p w14:paraId="5B537B02" w14:textId="5E86F6AF" w:rsidR="00677618" w:rsidRPr="009A67A3" w:rsidRDefault="00564DF1" w:rsidP="009A67A3">
      <w:pPr>
        <w:pStyle w:val="aa"/>
        <w:numPr>
          <w:ilvl w:val="0"/>
          <w:numId w:val="28"/>
        </w:numPr>
        <w:spacing w:after="0" w:line="240" w:lineRule="auto"/>
        <w:ind w:left="0" w:firstLine="0"/>
        <w:jc w:val="both"/>
        <w:outlineLvl w:val="0"/>
        <w:rPr>
          <w:rFonts w:ascii="Verdana" w:hAnsi="Verdana"/>
          <w:b/>
          <w:bCs/>
          <w:lang w:val="ru-RU"/>
        </w:rPr>
      </w:pPr>
      <w:r>
        <w:rPr>
          <w:rFonts w:ascii="Verdana" w:hAnsi="Verdana" w:cs="Arial"/>
          <w:kern w:val="22"/>
          <w:lang w:val="ru-RU"/>
          <w14:cntxtAlts/>
        </w:rPr>
        <w:t>Р</w:t>
      </w:r>
      <w:r w:rsidRPr="00564DF1">
        <w:rPr>
          <w:rFonts w:ascii="Verdana" w:hAnsi="Verdana" w:cs="Arial"/>
          <w:kern w:val="22"/>
          <w:lang w:val="ru-RU"/>
          <w14:cntxtAlts/>
        </w:rPr>
        <w:t>абочая документация (РД)</w:t>
      </w:r>
      <w:r>
        <w:rPr>
          <w:rFonts w:ascii="Verdana" w:hAnsi="Verdana" w:cs="Arial"/>
          <w:kern w:val="22"/>
          <w:lang w:val="ru-RU"/>
          <w14:cntxtAlts/>
        </w:rPr>
        <w:t>;</w:t>
      </w:r>
    </w:p>
    <w:p w14:paraId="05A1306D" w14:textId="3B4A9EF2" w:rsidR="00564DF1" w:rsidRPr="00E3710C" w:rsidRDefault="00E3710C" w:rsidP="00E3710C">
      <w:pPr>
        <w:pStyle w:val="aa"/>
        <w:numPr>
          <w:ilvl w:val="0"/>
          <w:numId w:val="28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 w:cs="Arial"/>
          <w:kern w:val="22"/>
          <w:lang w:val="ru-RU"/>
          <w14:cntxtAlts/>
        </w:rPr>
      </w:pPr>
      <w:r w:rsidRPr="00E3710C">
        <w:rPr>
          <w:rFonts w:ascii="Verdana" w:hAnsi="Verdana" w:cs="Arial"/>
          <w:kern w:val="22"/>
          <w:lang w:val="ru-RU"/>
          <w14:cntxtAlts/>
        </w:rPr>
        <w:t>При завершении работ Подрядчик представляет Заказчику акт сдачи-приемки выполненных работ, сертификаты качества на все используемые материалы, журнал производства работ, акты скрытых работ и иную исполнительную документацию по требованию Заказчика.</w:t>
      </w:r>
      <w:r>
        <w:rPr>
          <w:rFonts w:ascii="Verdana" w:hAnsi="Verdana" w:cs="Arial"/>
          <w:kern w:val="22"/>
          <w:lang w:val="ru-RU"/>
          <w14:cntxtAlts/>
        </w:rPr>
        <w:t xml:space="preserve"> ИД - </w:t>
      </w:r>
      <w:r w:rsidR="00564DF1" w:rsidRPr="00E3710C">
        <w:rPr>
          <w:rFonts w:ascii="Verdana" w:hAnsi="Verdana" w:cs="Arial"/>
          <w:kern w:val="22"/>
          <w:lang w:val="ru-RU"/>
          <w14:cntxtAlts/>
        </w:rPr>
        <w:t>в электронном (DWG и PDF) и бумажном виде,</w:t>
      </w:r>
      <w:r>
        <w:rPr>
          <w:rFonts w:ascii="Verdana" w:hAnsi="Verdana" w:cs="Arial"/>
          <w:kern w:val="22"/>
          <w:lang w:val="ru-RU"/>
          <w14:cntxtAlts/>
        </w:rPr>
        <w:t xml:space="preserve"> не менее чем в 2-х экземплярах</w:t>
      </w:r>
      <w:r w:rsidR="00564DF1" w:rsidRPr="00E3710C">
        <w:rPr>
          <w:rFonts w:ascii="Verdana" w:hAnsi="Verdana" w:cs="Arial"/>
          <w:kern w:val="22"/>
          <w:lang w:val="ru-RU"/>
          <w14:cntxtAlts/>
        </w:rPr>
        <w:t>:</w:t>
      </w:r>
    </w:p>
    <w:p w14:paraId="548D5978" w14:textId="77777777" w:rsidR="00564DF1" w:rsidRDefault="00564DF1" w:rsidP="009A67A3">
      <w:pPr>
        <w:pStyle w:val="aa"/>
        <w:adjustRightInd w:val="0"/>
        <w:snapToGrid w:val="0"/>
        <w:spacing w:before="100" w:beforeAutospacing="1" w:after="100" w:afterAutospacing="1" w:line="240" w:lineRule="auto"/>
        <w:ind w:left="0" w:firstLine="708"/>
        <w:rPr>
          <w:rFonts w:ascii="Verdana" w:hAnsi="Verdana" w:cs="Arial"/>
          <w:kern w:val="22"/>
          <w:lang w:val="ru-RU"/>
          <w14:cntxtAlts/>
        </w:rPr>
      </w:pPr>
      <w:r w:rsidRPr="00564DF1">
        <w:rPr>
          <w:rFonts w:ascii="Verdana" w:hAnsi="Verdana" w:cs="Arial"/>
          <w:kern w:val="22"/>
          <w:lang w:val="ru-RU"/>
          <w14:cntxtAlts/>
        </w:rPr>
        <w:t>Которая представляет собой текстовые и графические материалы, отражающие фактическое исполнение проектных решений по мере завершения определенных в проектной документации работ.</w:t>
      </w:r>
    </w:p>
    <w:p w14:paraId="472D2BD4" w14:textId="7E185C59" w:rsidR="00564DF1" w:rsidRDefault="00564DF1" w:rsidP="009A67A3">
      <w:pPr>
        <w:pStyle w:val="aa"/>
        <w:adjustRightInd w:val="0"/>
        <w:snapToGrid w:val="0"/>
        <w:spacing w:before="100" w:beforeAutospacing="1" w:after="100" w:afterAutospacing="1" w:line="240" w:lineRule="auto"/>
        <w:ind w:left="0" w:firstLine="708"/>
        <w:rPr>
          <w:rFonts w:ascii="Verdana" w:hAnsi="Verdana" w:cs="Arial"/>
          <w:kern w:val="22"/>
          <w:lang w:val="ru-RU"/>
          <w14:cntxtAlts/>
        </w:rPr>
      </w:pPr>
      <w:r w:rsidRPr="00564DF1">
        <w:rPr>
          <w:rFonts w:ascii="Verdana" w:hAnsi="Verdana" w:cs="Arial"/>
          <w:kern w:val="22"/>
          <w:lang w:val="ru-RU"/>
          <w14:cntxtAlts/>
        </w:rPr>
        <w:t xml:space="preserve">В том числе: Исполнительные чертежи смонтированной системы </w:t>
      </w:r>
      <w:r w:rsidRPr="001B2660">
        <w:rPr>
          <w:rFonts w:ascii="Verdana" w:hAnsi="Verdana" w:cs="Arial"/>
          <w:kern w:val="22"/>
          <w:lang w:val="ru-RU"/>
          <w14:cntxtAlts/>
        </w:rPr>
        <w:t>внутреннего пожарного водопровода</w:t>
      </w:r>
      <w:r>
        <w:rPr>
          <w:rFonts w:ascii="Verdana" w:hAnsi="Verdana" w:cs="Arial"/>
          <w:kern w:val="22"/>
          <w:lang w:val="ru-RU"/>
          <w14:cntxtAlts/>
        </w:rPr>
        <w:t xml:space="preserve"> с дополненными в систему</w:t>
      </w:r>
      <w:r w:rsidRPr="001B2660">
        <w:rPr>
          <w:rFonts w:ascii="Verdana" w:hAnsi="Verdana" w:cs="Arial"/>
          <w:kern w:val="22"/>
          <w:lang w:val="ru-RU"/>
          <w14:cntxtAlts/>
        </w:rPr>
        <w:t xml:space="preserve"> пожарными кранами, подключёнными к сплинкерным секциям дополнительных пожарных кра</w:t>
      </w:r>
      <w:r w:rsidRPr="00564DF1">
        <w:rPr>
          <w:rFonts w:ascii="Verdana" w:hAnsi="Verdana" w:cs="Arial"/>
          <w:kern w:val="22"/>
          <w:lang w:val="ru-RU"/>
          <w14:cntxtAlts/>
        </w:rPr>
        <w:t>спринклерного пожаротушения, установленного оборудования, паспорта на них, инструкции, схемы, сертификаты, журналы, акты монтажа и т.д.</w:t>
      </w:r>
    </w:p>
    <w:p w14:paraId="5A8B9131" w14:textId="4DA4F569" w:rsidR="00564DF1" w:rsidRPr="00564DF1" w:rsidRDefault="00564DF1" w:rsidP="009A67A3">
      <w:pPr>
        <w:pStyle w:val="aa"/>
        <w:numPr>
          <w:ilvl w:val="0"/>
          <w:numId w:val="28"/>
        </w:numPr>
        <w:spacing w:after="0" w:line="240" w:lineRule="auto"/>
        <w:ind w:left="0" w:firstLine="0"/>
        <w:jc w:val="both"/>
        <w:outlineLvl w:val="0"/>
        <w:rPr>
          <w:rFonts w:ascii="Verdana" w:hAnsi="Verdana"/>
          <w:lang w:val="ru-RU"/>
        </w:rPr>
      </w:pPr>
      <w:r w:rsidRPr="00564DF1">
        <w:rPr>
          <w:rFonts w:ascii="Verdana" w:hAnsi="Verdana"/>
          <w:lang w:val="ru-RU"/>
        </w:rPr>
        <w:t>Документы для оплаты</w:t>
      </w:r>
      <w:r>
        <w:rPr>
          <w:rFonts w:ascii="Verdana" w:hAnsi="Verdana"/>
          <w:lang w:val="ru-RU"/>
        </w:rPr>
        <w:t>.</w:t>
      </w:r>
    </w:p>
    <w:p w14:paraId="48A14A36" w14:textId="6237D8C1" w:rsidR="003D0A9D" w:rsidRDefault="003D0A9D" w:rsidP="003F45D6">
      <w:pPr>
        <w:pStyle w:val="1"/>
        <w:spacing w:after="0" w:line="240" w:lineRule="auto"/>
        <w:ind w:left="0"/>
        <w:rPr>
          <w:rFonts w:ascii="Verdana" w:hAnsi="Verdana"/>
          <w:lang w:val="ru-RU"/>
        </w:rPr>
      </w:pPr>
      <w:bookmarkStart w:id="91" w:name="_Toc84854381"/>
      <w:bookmarkStart w:id="92" w:name="_Toc84854382"/>
      <w:bookmarkEnd w:id="91"/>
      <w:r w:rsidRPr="00091034">
        <w:rPr>
          <w:rFonts w:ascii="Verdana" w:hAnsi="Verdana"/>
          <w:lang w:val="ru-RU"/>
        </w:rPr>
        <w:lastRenderedPageBreak/>
        <w:t>Приложения</w:t>
      </w:r>
      <w:bookmarkEnd w:id="92"/>
    </w:p>
    <w:p w14:paraId="13835495" w14:textId="77777777" w:rsidR="00A735D6" w:rsidRPr="00A735D6" w:rsidRDefault="00A735D6" w:rsidP="00A735D6">
      <w:pPr>
        <w:rPr>
          <w:lang w:val="ru-RU"/>
        </w:rPr>
      </w:pPr>
    </w:p>
    <w:p w14:paraId="6A9FDC40" w14:textId="1E8177B0" w:rsidR="009A67A3" w:rsidRDefault="009A67A3" w:rsidP="003F45D6">
      <w:pPr>
        <w:pStyle w:val="aa"/>
        <w:numPr>
          <w:ilvl w:val="0"/>
          <w:numId w:val="24"/>
        </w:numPr>
        <w:spacing w:after="0" w:line="240" w:lineRule="auto"/>
        <w:ind w:left="0" w:firstLine="0"/>
        <w:rPr>
          <w:rFonts w:ascii="Verdana" w:hAnsi="Verdana"/>
          <w:lang w:val="ru-RU"/>
        </w:rPr>
      </w:pPr>
      <w:bookmarkStart w:id="93" w:name="_Toc513111868"/>
      <w:bookmarkStart w:id="94" w:name="_Toc513193643"/>
      <w:bookmarkStart w:id="95" w:name="_Toc513193653"/>
      <w:bookmarkStart w:id="96" w:name="_Toc513193691"/>
      <w:bookmarkStart w:id="97" w:name="_Toc513220069"/>
      <w:bookmarkStart w:id="98" w:name="_Toc514681495"/>
      <w:bookmarkStart w:id="99" w:name="_Toc514681505"/>
      <w:bookmarkStart w:id="100" w:name="_Toc514681515"/>
      <w:bookmarkStart w:id="101" w:name="_Toc517901923"/>
      <w:bookmarkStart w:id="102" w:name="_Toc517901933"/>
      <w:bookmarkStart w:id="103" w:name="_Toc517901943"/>
      <w:bookmarkStart w:id="104" w:name="_Toc517902090"/>
      <w:bookmarkStart w:id="105" w:name="_Toc517902126"/>
      <w:bookmarkStart w:id="106" w:name="_Toc517902136"/>
      <w:bookmarkStart w:id="107" w:name="_Toc517902243"/>
      <w:bookmarkStart w:id="108" w:name="_Toc517902470"/>
      <w:r>
        <w:rPr>
          <w:rFonts w:ascii="Verdana" w:hAnsi="Verdana"/>
          <w:lang w:val="ru-RU"/>
        </w:rPr>
        <w:t>Общая схема склада;</w:t>
      </w:r>
    </w:p>
    <w:p w14:paraId="2423F33B" w14:textId="41601B3D" w:rsidR="009A67A3" w:rsidRDefault="009A67A3" w:rsidP="003F45D6">
      <w:pPr>
        <w:pStyle w:val="aa"/>
        <w:numPr>
          <w:ilvl w:val="0"/>
          <w:numId w:val="24"/>
        </w:numPr>
        <w:spacing w:after="0" w:line="240" w:lineRule="auto"/>
        <w:ind w:left="0" w:firstLine="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Схема трёхэтажного структурного мезонина 1 этаж;</w:t>
      </w:r>
    </w:p>
    <w:p w14:paraId="6F3D2B1E" w14:textId="6CD218F1" w:rsidR="009A67A3" w:rsidRDefault="009A67A3" w:rsidP="009A67A3">
      <w:pPr>
        <w:pStyle w:val="aa"/>
        <w:numPr>
          <w:ilvl w:val="0"/>
          <w:numId w:val="24"/>
        </w:numPr>
        <w:spacing w:after="0" w:line="240" w:lineRule="auto"/>
        <w:ind w:left="0" w:firstLine="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Схема трёхэтажного структурного мезонина 2 и 3 этаж;</w:t>
      </w:r>
    </w:p>
    <w:p w14:paraId="1F01C7D5" w14:textId="6795B491" w:rsidR="009A67A3" w:rsidRDefault="00A735D6" w:rsidP="003F45D6">
      <w:pPr>
        <w:pStyle w:val="aa"/>
        <w:numPr>
          <w:ilvl w:val="0"/>
          <w:numId w:val="24"/>
        </w:numPr>
        <w:spacing w:after="0" w:line="240" w:lineRule="auto"/>
        <w:ind w:left="0" w:firstLine="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Исполнительная документация: Система автоматического водяного пожаротушения и внутреннего противопожарного водопровода</w:t>
      </w:r>
    </w:p>
    <w:p w14:paraId="5E93F7DD" w14:textId="02E84822" w:rsidR="003D0A9D" w:rsidRPr="00564DF1" w:rsidRDefault="00564DF1" w:rsidP="003F45D6">
      <w:pPr>
        <w:pStyle w:val="aa"/>
        <w:numPr>
          <w:ilvl w:val="0"/>
          <w:numId w:val="24"/>
        </w:numPr>
        <w:spacing w:after="0" w:line="240" w:lineRule="auto"/>
        <w:ind w:left="0" w:firstLine="0"/>
        <w:rPr>
          <w:rFonts w:ascii="Verdana" w:hAnsi="Verdana"/>
          <w:lang w:val="ru-RU"/>
        </w:rPr>
      </w:pPr>
      <w:r w:rsidRPr="00564DF1">
        <w:rPr>
          <w:rFonts w:ascii="Verdana" w:hAnsi="Verdana"/>
          <w:lang w:val="ru-RU"/>
        </w:rPr>
        <w:t>Форма сметы;</w:t>
      </w:r>
    </w:p>
    <w:p w14:paraId="77E4DC23" w14:textId="77777777" w:rsidR="00564DF1" w:rsidRPr="00564DF1" w:rsidRDefault="00564DF1" w:rsidP="00A735D6">
      <w:pPr>
        <w:pStyle w:val="aa"/>
        <w:spacing w:after="0" w:line="240" w:lineRule="auto"/>
        <w:ind w:left="0"/>
        <w:rPr>
          <w:rFonts w:ascii="Verdana" w:hAnsi="Verdana"/>
          <w:lang w:val="ru-RU"/>
        </w:rPr>
      </w:pPr>
    </w:p>
    <w:p w14:paraId="6D98BD03" w14:textId="1CA4322A" w:rsidR="003D0A9D" w:rsidRPr="00564DF1" w:rsidRDefault="003D0A9D" w:rsidP="003F45D6">
      <w:pPr>
        <w:tabs>
          <w:tab w:val="left" w:pos="426"/>
        </w:tabs>
        <w:spacing w:after="0" w:line="240" w:lineRule="auto"/>
        <w:rPr>
          <w:rFonts w:ascii="Verdana" w:hAnsi="Verdana"/>
          <w:lang w:val="ru-RU"/>
        </w:rPr>
      </w:pPr>
      <w:r w:rsidRPr="00564DF1">
        <w:rPr>
          <w:rFonts w:ascii="Verdana" w:hAnsi="Verdana"/>
          <w:lang w:val="ru-RU"/>
        </w:rPr>
        <w:t xml:space="preserve"> </w:t>
      </w:r>
    </w:p>
    <w:p w14:paraId="1798133B" w14:textId="5FE34C90" w:rsidR="003D0A9D" w:rsidRPr="00091034" w:rsidRDefault="003D0A9D" w:rsidP="003F45D6">
      <w:pPr>
        <w:spacing w:after="0" w:line="240" w:lineRule="auto"/>
        <w:rPr>
          <w:rFonts w:ascii="Verdana" w:hAnsi="Verdana"/>
          <w:lang w:val="ru-RU"/>
        </w:rPr>
      </w:pPr>
    </w:p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p w14:paraId="53A82B33" w14:textId="77777777" w:rsidR="00A12803" w:rsidRPr="00091034" w:rsidRDefault="00A12803" w:rsidP="003F45D6">
      <w:pPr>
        <w:pStyle w:val="aa"/>
        <w:spacing w:after="0" w:line="240" w:lineRule="auto"/>
        <w:ind w:left="0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E3710C">
      <w:headerReference w:type="default" r:id="rId11"/>
      <w:footerReference w:type="default" r:id="rId12"/>
      <w:headerReference w:type="first" r:id="rId13"/>
      <w:pgSz w:w="11906" w:h="16838" w:code="9"/>
      <w:pgMar w:top="-2240" w:right="992" w:bottom="1276" w:left="1412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D909E" w14:textId="77777777" w:rsidR="00F27417" w:rsidRDefault="00F27417">
      <w:r>
        <w:separator/>
      </w:r>
    </w:p>
  </w:endnote>
  <w:endnote w:type="continuationSeparator" w:id="0">
    <w:p w14:paraId="772FA1E6" w14:textId="77777777" w:rsidR="00F27417" w:rsidRDefault="00F27417">
      <w:r>
        <w:continuationSeparator/>
      </w:r>
    </w:p>
  </w:endnote>
  <w:endnote w:type="continuationNotice" w:id="1">
    <w:p w14:paraId="654BD407" w14:textId="77777777" w:rsidR="00F27417" w:rsidRDefault="00F27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altName w:val="Bahnschrift Light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E74272" w:rsidRPr="00FB68F5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E74272" w:rsidRPr="00091034" w:rsidRDefault="00E74272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2DC49822" w14:textId="77777777" w:rsidR="00E74272" w:rsidRDefault="00E74272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</w:p>
        <w:p w14:paraId="44F02621" w14:textId="3A7ECE7E" w:rsidR="00E74272" w:rsidRPr="00091034" w:rsidRDefault="00E74272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2C5A79">
            <w:rPr>
              <w:rFonts w:ascii="VWAG TheSans" w:eastAsia="DengXian" w:hAnsi="VWAG TheSans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12EE687B" w:rsidR="00E74272" w:rsidRPr="00091034" w:rsidRDefault="00E74272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 w:rsidRPr="00ED15D5">
            <w:rPr>
              <w:rFonts w:ascii="Verdana" w:eastAsia="DengXian" w:hAnsi="Verdana" w:cs="Arial"/>
              <w:lang w:val="ru-RU"/>
            </w:rPr>
            <w:t xml:space="preserve"> </w:t>
          </w:r>
          <w:r>
            <w:rPr>
              <w:rFonts w:ascii="Verdana" w:eastAsia="DengXian" w:hAnsi="Verdana" w:cs="Arial"/>
            </w:rPr>
            <w:t>F</w:t>
          </w:r>
          <w:r w:rsidRPr="00091034">
            <w:rPr>
              <w:rFonts w:ascii="Verdana" w:eastAsia="DengXian" w:hAnsi="Verdana" w:cs="Arial"/>
            </w:rPr>
            <w:t>_</w:t>
          </w:r>
          <w:r w:rsidRPr="00091034">
            <w:rPr>
              <w:rFonts w:ascii="Verdana" w:eastAsia="DengXian" w:hAnsi="Verdana" w:cs="Arial"/>
              <w:lang w:val="ru-RU"/>
            </w:rPr>
            <w:t>45</w:t>
          </w:r>
          <w:r w:rsidRPr="00091034">
            <w:rPr>
              <w:rFonts w:ascii="Verdana" w:eastAsia="DengXian" w:hAnsi="Verdana" w:cs="Arial"/>
            </w:rPr>
            <w:t>000_</w:t>
          </w:r>
          <w:r w:rsidRPr="00091034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7B568B4D" w:rsidR="00E74272" w:rsidRPr="00091034" w:rsidRDefault="00E74272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E74272" w:rsidRPr="00091034" w:rsidRDefault="00E74272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Действителен с 22.12.2023</w:t>
          </w:r>
        </w:p>
      </w:tc>
      <w:tc>
        <w:tcPr>
          <w:tcW w:w="2548" w:type="dxa"/>
          <w:shd w:val="clear" w:color="auto" w:fill="auto"/>
        </w:tcPr>
        <w:p w14:paraId="42884FDD" w14:textId="27FA1D3F" w:rsidR="00E74272" w:rsidRPr="00091034" w:rsidRDefault="00E74272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Составитель: Т. Шеставина </w:t>
          </w:r>
        </w:p>
        <w:p w14:paraId="5672ED65" w14:textId="728057E4" w:rsidR="00E74272" w:rsidRPr="00091034" w:rsidRDefault="00E74272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6D0881">
            <w:rPr>
              <w:rFonts w:ascii="Verdana" w:eastAsia="DengXian" w:hAnsi="Verdana" w:cs="Arial"/>
              <w:noProof/>
              <w:sz w:val="14"/>
              <w:szCs w:val="14"/>
            </w:rPr>
            <w:t>2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6D0881">
            <w:rPr>
              <w:rFonts w:ascii="Verdana" w:eastAsia="DengXian" w:hAnsi="Verdana" w:cs="Arial"/>
              <w:noProof/>
              <w:sz w:val="14"/>
              <w:szCs w:val="14"/>
            </w:rPr>
            <w:t>10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E74272" w:rsidRPr="00091034" w:rsidRDefault="00E74272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E74272" w:rsidRPr="00233806" w:rsidRDefault="00E74272" w:rsidP="005642C5">
    <w:pPr>
      <w:pStyle w:val="a5"/>
      <w:rPr>
        <w:lang w:val="ru-RU"/>
      </w:rPr>
    </w:pPr>
  </w:p>
  <w:p w14:paraId="26DAC178" w14:textId="77777777" w:rsidR="00E74272" w:rsidRPr="00233806" w:rsidRDefault="00E74272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2EBF7" w14:textId="77777777" w:rsidR="00F27417" w:rsidRDefault="00F27417">
      <w:r>
        <w:separator/>
      </w:r>
    </w:p>
  </w:footnote>
  <w:footnote w:type="continuationSeparator" w:id="0">
    <w:p w14:paraId="3A7BCD91" w14:textId="77777777" w:rsidR="00F27417" w:rsidRDefault="00F27417">
      <w:r>
        <w:continuationSeparator/>
      </w:r>
    </w:p>
  </w:footnote>
  <w:footnote w:type="continuationNotice" w:id="1">
    <w:p w14:paraId="5E2C8780" w14:textId="77777777" w:rsidR="00F27417" w:rsidRDefault="00F274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74272" w:rsidRPr="00213A81" w14:paraId="35EAB21A" w14:textId="77777777" w:rsidTr="00082172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74272" w:rsidRPr="00091034" w:rsidRDefault="00E74272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6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554"/>
            <w:gridCol w:w="1467"/>
            <w:gridCol w:w="106"/>
          </w:tblGrid>
          <w:tr w:rsidR="00E74272" w:rsidRPr="00091034" w14:paraId="71E279F7" w14:textId="77777777" w:rsidTr="006B387B">
            <w:trPr>
              <w:gridAfter w:val="1"/>
              <w:wAfter w:w="106" w:type="dxa"/>
              <w:jc w:val="right"/>
            </w:trPr>
            <w:tc>
              <w:tcPr>
                <w:tcW w:w="1263" w:type="dxa"/>
                <w:gridSpan w:val="2"/>
              </w:tcPr>
              <w:p w14:paraId="365060B2" w14:textId="3076D9FB" w:rsidR="00E74272" w:rsidRPr="00091034" w:rsidRDefault="00E74272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74272" w:rsidRPr="00091034" w:rsidRDefault="00E74272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74272" w:rsidRPr="00FB68F5" w14:paraId="2DA64367" w14:textId="77777777" w:rsidTr="006B387B">
            <w:trPr>
              <w:jc w:val="right"/>
            </w:trPr>
            <w:tc>
              <w:tcPr>
                <w:tcW w:w="709" w:type="dxa"/>
              </w:tcPr>
              <w:p w14:paraId="62EF3A7B" w14:textId="0E660603" w:rsidR="00E74272" w:rsidRPr="00091034" w:rsidRDefault="00E74272" w:rsidP="006B387B">
                <w:pPr>
                  <w:spacing w:after="0" w:line="240" w:lineRule="auto"/>
                  <w:ind w:left="0" w:right="-14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10B62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2127" w:type="dxa"/>
                <w:gridSpan w:val="3"/>
              </w:tcPr>
              <w:p w14:paraId="0EA366AA" w14:textId="7B016B57" w:rsidR="00E74272" w:rsidRPr="00091034" w:rsidRDefault="00E74272" w:rsidP="006B387B">
                <w:pPr>
                  <w:spacing w:after="0" w:line="240" w:lineRule="auto"/>
                  <w:ind w:left="146" w:right="-14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D816AC"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Отдел логистики и управления складом </w:t>
                </w:r>
              </w:p>
            </w:tc>
          </w:tr>
          <w:tr w:rsidR="00E74272" w:rsidRPr="00091034" w14:paraId="522E070A" w14:textId="77777777" w:rsidTr="006B387B">
            <w:trPr>
              <w:jc w:val="right"/>
            </w:trPr>
            <w:tc>
              <w:tcPr>
                <w:tcW w:w="709" w:type="dxa"/>
              </w:tcPr>
              <w:p w14:paraId="299E12E7" w14:textId="461BBEA2" w:rsidR="00E74272" w:rsidRPr="00091034" w:rsidRDefault="00E74272" w:rsidP="006B387B">
                <w:pPr>
                  <w:spacing w:after="0" w:line="240" w:lineRule="auto"/>
                  <w:ind w:left="0" w:right="-14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10B62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2127" w:type="dxa"/>
                <w:gridSpan w:val="3"/>
              </w:tcPr>
              <w:p w14:paraId="3047EBCE" w14:textId="7CAF18A8" w:rsidR="00E74272" w:rsidRPr="00091034" w:rsidRDefault="001546A2" w:rsidP="006B387B">
                <w:pPr>
                  <w:spacing w:after="0" w:line="240" w:lineRule="auto"/>
                  <w:ind w:left="146" w:right="-14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18.10</w:t>
                </w:r>
                <w:r w:rsidR="00E74272">
                  <w:rPr>
                    <w:rFonts w:ascii="Verdana" w:hAnsi="Verdana"/>
                    <w:sz w:val="16"/>
                    <w:szCs w:val="16"/>
                    <w:lang w:val="ru-RU"/>
                  </w:rPr>
                  <w:t>.2024</w:t>
                </w:r>
              </w:p>
            </w:tc>
          </w:tr>
        </w:tbl>
        <w:p w14:paraId="4ADDB161" w14:textId="6173627D" w:rsidR="00E74272" w:rsidRPr="00091034" w:rsidRDefault="00E74272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E74272" w:rsidRPr="00C8569F" w:rsidRDefault="00E74272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E74272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E74272" w:rsidRPr="00213A81" w:rsidRDefault="00E74272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10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E74272" w:rsidRPr="00C8569F" w:rsidRDefault="00E74272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E74272" w:rsidRPr="003C1734" w:rsidRDefault="00E74272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E74272" w:rsidRPr="00445C39" w:rsidRDefault="00E74272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E74272" w:rsidRPr="00445C39" w:rsidRDefault="00E74272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E74272" w:rsidRPr="00C8569F" w:rsidRDefault="00E74272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E74272" w:rsidRPr="00C8569F" w:rsidRDefault="00E74272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E74272" w:rsidRPr="006C5EA4" w:rsidRDefault="00E74272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138"/>
    <w:multiLevelType w:val="hybridMultilevel"/>
    <w:tmpl w:val="61A6A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57961"/>
    <w:multiLevelType w:val="hybridMultilevel"/>
    <w:tmpl w:val="8106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3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3252"/>
    <w:multiLevelType w:val="hybridMultilevel"/>
    <w:tmpl w:val="9C82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A16"/>
    <w:multiLevelType w:val="hybridMultilevel"/>
    <w:tmpl w:val="B562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E50D7"/>
    <w:multiLevelType w:val="hybridMultilevel"/>
    <w:tmpl w:val="19F2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0540"/>
    <w:multiLevelType w:val="hybridMultilevel"/>
    <w:tmpl w:val="265CE99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F327D46"/>
    <w:multiLevelType w:val="hybridMultilevel"/>
    <w:tmpl w:val="F7A8A6F4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257B26E1"/>
    <w:multiLevelType w:val="hybridMultilevel"/>
    <w:tmpl w:val="76EE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29D4"/>
    <w:multiLevelType w:val="hybridMultilevel"/>
    <w:tmpl w:val="607E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161FF"/>
    <w:multiLevelType w:val="hybridMultilevel"/>
    <w:tmpl w:val="98F4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5C3B"/>
    <w:multiLevelType w:val="hybridMultilevel"/>
    <w:tmpl w:val="2A2A18E2"/>
    <w:lvl w:ilvl="0" w:tplc="C7A0BF7E">
      <w:numFmt w:val="bullet"/>
      <w:lvlText w:val="-"/>
      <w:lvlJc w:val="left"/>
      <w:pPr>
        <w:ind w:left="795" w:hanging="360"/>
      </w:pPr>
      <w:rPr>
        <w:rFonts w:ascii="Verdana" w:eastAsia="Times New Roman" w:hAnsi="Verdana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02A69"/>
    <w:multiLevelType w:val="hybridMultilevel"/>
    <w:tmpl w:val="7BFCF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140368"/>
    <w:multiLevelType w:val="hybridMultilevel"/>
    <w:tmpl w:val="2A8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6F5C"/>
    <w:multiLevelType w:val="hybridMultilevel"/>
    <w:tmpl w:val="B8C25D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DF0797"/>
    <w:multiLevelType w:val="hybridMultilevel"/>
    <w:tmpl w:val="D0AE36BC"/>
    <w:lvl w:ilvl="0" w:tplc="C7A0BF7E"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6676BC"/>
    <w:multiLevelType w:val="hybridMultilevel"/>
    <w:tmpl w:val="B17A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81D18"/>
    <w:multiLevelType w:val="hybridMultilevel"/>
    <w:tmpl w:val="B086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157E4"/>
    <w:multiLevelType w:val="multilevel"/>
    <w:tmpl w:val="006EE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4B47E3"/>
    <w:multiLevelType w:val="hybridMultilevel"/>
    <w:tmpl w:val="A7AC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B2E65"/>
    <w:multiLevelType w:val="hybridMultilevel"/>
    <w:tmpl w:val="51021D02"/>
    <w:lvl w:ilvl="0" w:tplc="368AB496">
      <w:start w:val="850"/>
      <w:numFmt w:val="decimal"/>
      <w:lvlText w:val="%1"/>
      <w:lvlJc w:val="left"/>
      <w:pPr>
        <w:ind w:left="507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0BF2612"/>
    <w:multiLevelType w:val="hybridMultilevel"/>
    <w:tmpl w:val="6D2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1E4B"/>
    <w:multiLevelType w:val="hybridMultilevel"/>
    <w:tmpl w:val="C3763B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A392F72"/>
    <w:multiLevelType w:val="hybridMultilevel"/>
    <w:tmpl w:val="99BC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85C01"/>
    <w:multiLevelType w:val="hybridMultilevel"/>
    <w:tmpl w:val="AB30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1E97"/>
    <w:multiLevelType w:val="hybridMultilevel"/>
    <w:tmpl w:val="C68A4844"/>
    <w:lvl w:ilvl="0" w:tplc="C7A0BF7E"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25"/>
  </w:num>
  <w:num w:numId="5">
    <w:abstractNumId w:val="9"/>
  </w:num>
  <w:num w:numId="6">
    <w:abstractNumId w:val="24"/>
  </w:num>
  <w:num w:numId="7">
    <w:abstractNumId w:val="15"/>
  </w:num>
  <w:num w:numId="8">
    <w:abstractNumId w:val="1"/>
  </w:num>
  <w:num w:numId="9">
    <w:abstractNumId w:val="8"/>
  </w:num>
  <w:num w:numId="10">
    <w:abstractNumId w:val="23"/>
  </w:num>
  <w:num w:numId="11">
    <w:abstractNumId w:val="22"/>
  </w:num>
  <w:num w:numId="12">
    <w:abstractNumId w:val="13"/>
  </w:num>
  <w:num w:numId="13">
    <w:abstractNumId w:val="5"/>
  </w:num>
  <w:num w:numId="14">
    <w:abstractNumId w:val="6"/>
  </w:num>
  <w:num w:numId="15">
    <w:abstractNumId w:val="18"/>
  </w:num>
  <w:num w:numId="16">
    <w:abstractNumId w:val="11"/>
  </w:num>
  <w:num w:numId="17">
    <w:abstractNumId w:val="14"/>
  </w:num>
  <w:num w:numId="18">
    <w:abstractNumId w:val="21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 w:numId="23">
    <w:abstractNumId w:val="16"/>
  </w:num>
  <w:num w:numId="24">
    <w:abstractNumId w:val="4"/>
  </w:num>
  <w:num w:numId="25">
    <w:abstractNumId w:val="12"/>
  </w:num>
  <w:num w:numId="26">
    <w:abstractNumId w:val="7"/>
  </w:num>
  <w:num w:numId="27">
    <w:abstractNumId w:val="0"/>
  </w:num>
  <w:num w:numId="2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2BEA"/>
    <w:rsid w:val="00052C96"/>
    <w:rsid w:val="00054714"/>
    <w:rsid w:val="00054BFC"/>
    <w:rsid w:val="00061303"/>
    <w:rsid w:val="00061A1C"/>
    <w:rsid w:val="00061BB7"/>
    <w:rsid w:val="00061EB9"/>
    <w:rsid w:val="00062979"/>
    <w:rsid w:val="00076126"/>
    <w:rsid w:val="00082172"/>
    <w:rsid w:val="000833E5"/>
    <w:rsid w:val="00090248"/>
    <w:rsid w:val="00090DFC"/>
    <w:rsid w:val="00091034"/>
    <w:rsid w:val="00091865"/>
    <w:rsid w:val="000918C7"/>
    <w:rsid w:val="00092120"/>
    <w:rsid w:val="00096FE8"/>
    <w:rsid w:val="000A1930"/>
    <w:rsid w:val="000A35D4"/>
    <w:rsid w:val="000A6CB8"/>
    <w:rsid w:val="000A6F51"/>
    <w:rsid w:val="000A7A31"/>
    <w:rsid w:val="000B02AE"/>
    <w:rsid w:val="000B3E5A"/>
    <w:rsid w:val="000B5B65"/>
    <w:rsid w:val="000C73A1"/>
    <w:rsid w:val="000D506F"/>
    <w:rsid w:val="000E2A9F"/>
    <w:rsid w:val="000F0AB3"/>
    <w:rsid w:val="000F5C73"/>
    <w:rsid w:val="00107AF0"/>
    <w:rsid w:val="001221CB"/>
    <w:rsid w:val="00125E8F"/>
    <w:rsid w:val="00126391"/>
    <w:rsid w:val="00130983"/>
    <w:rsid w:val="00136E79"/>
    <w:rsid w:val="00137E45"/>
    <w:rsid w:val="00150182"/>
    <w:rsid w:val="001520D7"/>
    <w:rsid w:val="001529A7"/>
    <w:rsid w:val="00152BF9"/>
    <w:rsid w:val="001536AA"/>
    <w:rsid w:val="001546A2"/>
    <w:rsid w:val="00175D62"/>
    <w:rsid w:val="00191406"/>
    <w:rsid w:val="001948F6"/>
    <w:rsid w:val="00196C9E"/>
    <w:rsid w:val="0019719B"/>
    <w:rsid w:val="00197D8E"/>
    <w:rsid w:val="001A39FD"/>
    <w:rsid w:val="001B2660"/>
    <w:rsid w:val="001C1621"/>
    <w:rsid w:val="001C2E22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1B8E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17B4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5956"/>
    <w:rsid w:val="002F65A0"/>
    <w:rsid w:val="002F7797"/>
    <w:rsid w:val="00303A35"/>
    <w:rsid w:val="00305C0B"/>
    <w:rsid w:val="00306A3E"/>
    <w:rsid w:val="00310DF1"/>
    <w:rsid w:val="00314819"/>
    <w:rsid w:val="003148DE"/>
    <w:rsid w:val="00330C6D"/>
    <w:rsid w:val="00336C09"/>
    <w:rsid w:val="00342CD8"/>
    <w:rsid w:val="00355959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3E6B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0006"/>
    <w:rsid w:val="003E44C4"/>
    <w:rsid w:val="003F45D6"/>
    <w:rsid w:val="00411D27"/>
    <w:rsid w:val="00412A0F"/>
    <w:rsid w:val="00415750"/>
    <w:rsid w:val="00422CBC"/>
    <w:rsid w:val="004304C1"/>
    <w:rsid w:val="00430FA8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6018D"/>
    <w:rsid w:val="00475D28"/>
    <w:rsid w:val="00476176"/>
    <w:rsid w:val="00483249"/>
    <w:rsid w:val="00483FDD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0F24"/>
    <w:rsid w:val="004C1A22"/>
    <w:rsid w:val="004C2BC4"/>
    <w:rsid w:val="004C7CDB"/>
    <w:rsid w:val="004D1EEC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575"/>
    <w:rsid w:val="005308C1"/>
    <w:rsid w:val="00533A21"/>
    <w:rsid w:val="005435DD"/>
    <w:rsid w:val="00557FF4"/>
    <w:rsid w:val="005642C5"/>
    <w:rsid w:val="0056477D"/>
    <w:rsid w:val="00564DF1"/>
    <w:rsid w:val="00576313"/>
    <w:rsid w:val="005946BD"/>
    <w:rsid w:val="00595357"/>
    <w:rsid w:val="00596035"/>
    <w:rsid w:val="005A3505"/>
    <w:rsid w:val="005A54D2"/>
    <w:rsid w:val="005A6294"/>
    <w:rsid w:val="005B1F36"/>
    <w:rsid w:val="005E28AD"/>
    <w:rsid w:val="005F29AD"/>
    <w:rsid w:val="005F5310"/>
    <w:rsid w:val="00606CD7"/>
    <w:rsid w:val="00614929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3B8"/>
    <w:rsid w:val="00691A3B"/>
    <w:rsid w:val="00691CA8"/>
    <w:rsid w:val="0069796A"/>
    <w:rsid w:val="006A2B8A"/>
    <w:rsid w:val="006A7CC0"/>
    <w:rsid w:val="006B387B"/>
    <w:rsid w:val="006B6617"/>
    <w:rsid w:val="006C5EA4"/>
    <w:rsid w:val="006D0881"/>
    <w:rsid w:val="006D3852"/>
    <w:rsid w:val="006D46A8"/>
    <w:rsid w:val="006E0B3C"/>
    <w:rsid w:val="006E4C12"/>
    <w:rsid w:val="006F00A0"/>
    <w:rsid w:val="00700104"/>
    <w:rsid w:val="007027C1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A6744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705AA"/>
    <w:rsid w:val="00871D7D"/>
    <w:rsid w:val="008771CA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268DA"/>
    <w:rsid w:val="00935245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0831"/>
    <w:rsid w:val="00983CCC"/>
    <w:rsid w:val="00985225"/>
    <w:rsid w:val="009856F8"/>
    <w:rsid w:val="00987C0B"/>
    <w:rsid w:val="00994E39"/>
    <w:rsid w:val="009A58C6"/>
    <w:rsid w:val="009A6292"/>
    <w:rsid w:val="009A67A3"/>
    <w:rsid w:val="009B4A33"/>
    <w:rsid w:val="009B7F33"/>
    <w:rsid w:val="009C0EAF"/>
    <w:rsid w:val="009C3402"/>
    <w:rsid w:val="009C55BE"/>
    <w:rsid w:val="009E04EB"/>
    <w:rsid w:val="009E05A9"/>
    <w:rsid w:val="009E633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46418"/>
    <w:rsid w:val="00A542DF"/>
    <w:rsid w:val="00A569AC"/>
    <w:rsid w:val="00A57C4D"/>
    <w:rsid w:val="00A64FFC"/>
    <w:rsid w:val="00A6788D"/>
    <w:rsid w:val="00A735D6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1DB4"/>
    <w:rsid w:val="00B66E07"/>
    <w:rsid w:val="00B67DCA"/>
    <w:rsid w:val="00B67FD1"/>
    <w:rsid w:val="00B71441"/>
    <w:rsid w:val="00B73753"/>
    <w:rsid w:val="00B74639"/>
    <w:rsid w:val="00B763BB"/>
    <w:rsid w:val="00B76968"/>
    <w:rsid w:val="00B86B44"/>
    <w:rsid w:val="00B86F4C"/>
    <w:rsid w:val="00B906D9"/>
    <w:rsid w:val="00B929D1"/>
    <w:rsid w:val="00BA6A6C"/>
    <w:rsid w:val="00BA7CC2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4822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A4347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D4861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74020"/>
    <w:rsid w:val="00D74603"/>
    <w:rsid w:val="00D801B4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0E0F"/>
    <w:rsid w:val="00DB51F0"/>
    <w:rsid w:val="00DB5793"/>
    <w:rsid w:val="00DC0CB5"/>
    <w:rsid w:val="00DC20CD"/>
    <w:rsid w:val="00DD0FA7"/>
    <w:rsid w:val="00DE4081"/>
    <w:rsid w:val="00DE4AB7"/>
    <w:rsid w:val="00DF541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3710C"/>
    <w:rsid w:val="00E415A8"/>
    <w:rsid w:val="00E41DD4"/>
    <w:rsid w:val="00E46239"/>
    <w:rsid w:val="00E46330"/>
    <w:rsid w:val="00E479F5"/>
    <w:rsid w:val="00E502E6"/>
    <w:rsid w:val="00E5626A"/>
    <w:rsid w:val="00E62407"/>
    <w:rsid w:val="00E64E47"/>
    <w:rsid w:val="00E71E22"/>
    <w:rsid w:val="00E71FC8"/>
    <w:rsid w:val="00E724C5"/>
    <w:rsid w:val="00E74272"/>
    <w:rsid w:val="00E90D52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5D5"/>
    <w:rsid w:val="00ED160B"/>
    <w:rsid w:val="00ED1903"/>
    <w:rsid w:val="00ED3818"/>
    <w:rsid w:val="00ED48F2"/>
    <w:rsid w:val="00EF07A6"/>
    <w:rsid w:val="00EF16EC"/>
    <w:rsid w:val="00EF433D"/>
    <w:rsid w:val="00EF7A05"/>
    <w:rsid w:val="00F013C4"/>
    <w:rsid w:val="00F02673"/>
    <w:rsid w:val="00F05B7C"/>
    <w:rsid w:val="00F05E83"/>
    <w:rsid w:val="00F124A4"/>
    <w:rsid w:val="00F13D50"/>
    <w:rsid w:val="00F15009"/>
    <w:rsid w:val="00F21899"/>
    <w:rsid w:val="00F244E2"/>
    <w:rsid w:val="00F252FB"/>
    <w:rsid w:val="00F27417"/>
    <w:rsid w:val="00F2776F"/>
    <w:rsid w:val="00F30362"/>
    <w:rsid w:val="00F37246"/>
    <w:rsid w:val="00F37848"/>
    <w:rsid w:val="00F55942"/>
    <w:rsid w:val="00F5696E"/>
    <w:rsid w:val="00F63364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8F5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3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29705ba-42a4-4106-8d7d-dd938774e8f5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E7D709-CC1A-4F28-AD43-D522028A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10</Pages>
  <Words>2079</Words>
  <Characters>15471</Characters>
  <Application>Microsoft Office Word</Application>
  <DocSecurity>4</DocSecurity>
  <Lines>128</Lines>
  <Paragraphs>35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Kuleschova Swetlana</cp:lastModifiedBy>
  <cp:revision>2</cp:revision>
  <cp:lastPrinted>2021-08-23T13:56:00Z</cp:lastPrinted>
  <dcterms:created xsi:type="dcterms:W3CDTF">2024-11-08T11:57:00Z</dcterms:created>
  <dcterms:modified xsi:type="dcterms:W3CDTF">2024-11-08T11:57:00Z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