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5F7" w:rsidRPr="00E20A82" w:rsidRDefault="005D25F7" w:rsidP="00DA2C42">
      <w:pPr>
        <w:spacing w:before="0"/>
        <w:jc w:val="center"/>
        <w:rPr>
          <w:b/>
          <w:sz w:val="22"/>
          <w:szCs w:val="22"/>
          <w:lang w:eastAsia="x-none"/>
        </w:rPr>
      </w:pPr>
      <w:r w:rsidRPr="00E20A82">
        <w:rPr>
          <w:b/>
          <w:sz w:val="22"/>
          <w:szCs w:val="22"/>
          <w:lang w:eastAsia="x-none"/>
        </w:rPr>
        <w:t xml:space="preserve">Перечень банков, от которых возможно </w:t>
      </w:r>
    </w:p>
    <w:p w:rsidR="00D35D3D" w:rsidRPr="00E20A82" w:rsidRDefault="005D25F7" w:rsidP="00DA2C42">
      <w:pPr>
        <w:spacing w:before="0"/>
        <w:jc w:val="center"/>
        <w:rPr>
          <w:b/>
          <w:sz w:val="22"/>
          <w:szCs w:val="22"/>
          <w:lang w:eastAsia="x-none"/>
        </w:rPr>
      </w:pPr>
      <w:r w:rsidRPr="00E20A82">
        <w:rPr>
          <w:b/>
          <w:sz w:val="22"/>
          <w:szCs w:val="22"/>
          <w:lang w:eastAsia="x-none"/>
        </w:rPr>
        <w:t>принятие банковских гарантий и аккредитивов</w:t>
      </w:r>
      <w:r w:rsidR="00F76C2D" w:rsidRPr="00E20A82">
        <w:rPr>
          <w:b/>
          <w:sz w:val="22"/>
          <w:szCs w:val="22"/>
          <w:lang w:eastAsia="x-none"/>
        </w:rPr>
        <w:t>*</w:t>
      </w:r>
      <w:r w:rsidR="00D35D3D" w:rsidRPr="00E20A82">
        <w:rPr>
          <w:b/>
          <w:sz w:val="22"/>
          <w:szCs w:val="22"/>
          <w:lang w:eastAsia="x-none"/>
        </w:rPr>
        <w:t xml:space="preserve"> </w:t>
      </w:r>
    </w:p>
    <w:p w:rsidR="00F76C2D" w:rsidRPr="00E20A82" w:rsidRDefault="00F76C2D" w:rsidP="00DA2C42">
      <w:pPr>
        <w:spacing w:before="0"/>
        <w:rPr>
          <w:b/>
          <w:sz w:val="22"/>
          <w:szCs w:val="22"/>
          <w:lang w:eastAsia="x-none"/>
        </w:rPr>
      </w:pPr>
    </w:p>
    <w:tbl>
      <w:tblPr>
        <w:tblW w:w="5000" w:type="pct"/>
        <w:tblLook w:val="04A0" w:firstRow="1" w:lastRow="0" w:firstColumn="1" w:lastColumn="0" w:noHBand="0" w:noVBand="1"/>
      </w:tblPr>
      <w:tblGrid>
        <w:gridCol w:w="793"/>
        <w:gridCol w:w="416"/>
        <w:gridCol w:w="3366"/>
        <w:gridCol w:w="955"/>
        <w:gridCol w:w="253"/>
        <w:gridCol w:w="4423"/>
      </w:tblGrid>
      <w:tr w:rsidR="00F76C2D" w:rsidRPr="00E20A82" w:rsidTr="00DA2C42">
        <w:tc>
          <w:tcPr>
            <w:tcW w:w="388" w:type="pct"/>
            <w:tcBorders>
              <w:bottom w:val="single" w:sz="4" w:space="0" w:color="auto"/>
            </w:tcBorders>
            <w:shd w:val="clear" w:color="auto" w:fill="auto"/>
            <w:vAlign w:val="center"/>
          </w:tcPr>
          <w:p w:rsidR="00F76C2D" w:rsidRPr="00E20A82" w:rsidRDefault="00F76C2D" w:rsidP="00DA2C42">
            <w:pPr>
              <w:spacing w:before="0"/>
              <w:ind w:firstLine="0"/>
              <w:jc w:val="center"/>
              <w:rPr>
                <w:b/>
                <w:sz w:val="22"/>
                <w:szCs w:val="22"/>
                <w:lang w:eastAsia="x-none"/>
              </w:rPr>
            </w:pPr>
          </w:p>
        </w:tc>
        <w:tc>
          <w:tcPr>
            <w:tcW w:w="1853" w:type="pct"/>
            <w:gridSpan w:val="2"/>
            <w:tcBorders>
              <w:bottom w:val="single" w:sz="4" w:space="0" w:color="auto"/>
            </w:tcBorders>
            <w:shd w:val="clear" w:color="auto" w:fill="auto"/>
            <w:vAlign w:val="center"/>
          </w:tcPr>
          <w:p w:rsidR="00F76C2D" w:rsidRPr="00E20A82" w:rsidRDefault="00E93BD5" w:rsidP="00DA2C42">
            <w:pPr>
              <w:spacing w:before="0"/>
              <w:ind w:firstLine="0"/>
              <w:jc w:val="center"/>
              <w:rPr>
                <w:b/>
                <w:sz w:val="22"/>
                <w:szCs w:val="22"/>
                <w:lang w:eastAsia="x-none"/>
              </w:rPr>
            </w:pPr>
            <w:r w:rsidRPr="00E20A82">
              <w:rPr>
                <w:b/>
                <w:sz w:val="22"/>
                <w:szCs w:val="22"/>
                <w:lang w:eastAsia="x-none"/>
              </w:rPr>
              <w:t>Наименование российского банка (филиала)</w:t>
            </w:r>
          </w:p>
        </w:tc>
        <w:tc>
          <w:tcPr>
            <w:tcW w:w="592" w:type="pct"/>
            <w:gridSpan w:val="2"/>
            <w:tcBorders>
              <w:bottom w:val="single" w:sz="4" w:space="0" w:color="auto"/>
            </w:tcBorders>
            <w:vAlign w:val="center"/>
          </w:tcPr>
          <w:p w:rsidR="00F76C2D" w:rsidRPr="00E20A82" w:rsidRDefault="00F76C2D" w:rsidP="00DA2C42">
            <w:pPr>
              <w:spacing w:before="0"/>
              <w:ind w:firstLine="0"/>
              <w:jc w:val="center"/>
              <w:rPr>
                <w:b/>
                <w:sz w:val="22"/>
                <w:szCs w:val="22"/>
                <w:lang w:eastAsia="x-none"/>
              </w:rPr>
            </w:pPr>
          </w:p>
        </w:tc>
        <w:tc>
          <w:tcPr>
            <w:tcW w:w="2166" w:type="pct"/>
            <w:tcBorders>
              <w:bottom w:val="single" w:sz="4" w:space="0" w:color="auto"/>
            </w:tcBorders>
            <w:vAlign w:val="center"/>
          </w:tcPr>
          <w:p w:rsidR="00F76C2D" w:rsidRPr="00E20A82" w:rsidRDefault="00F76C2D" w:rsidP="00DA2C42">
            <w:pPr>
              <w:spacing w:before="0"/>
              <w:ind w:firstLine="0"/>
              <w:jc w:val="center"/>
              <w:rPr>
                <w:b/>
                <w:sz w:val="22"/>
                <w:szCs w:val="22"/>
                <w:lang w:eastAsia="x-none"/>
              </w:rPr>
            </w:pPr>
          </w:p>
        </w:tc>
      </w:tr>
      <w:tr w:rsidR="00E93BD5" w:rsidRPr="00E20A82" w:rsidTr="00DA2C42">
        <w:trPr>
          <w:gridAfter w:val="2"/>
          <w:wAfter w:w="2291" w:type="pct"/>
        </w:trPr>
        <w:tc>
          <w:tcPr>
            <w:tcW w:w="592" w:type="pct"/>
            <w:gridSpan w:val="2"/>
            <w:tcBorders>
              <w:top w:val="single" w:sz="4" w:space="0" w:color="auto"/>
            </w:tcBorders>
          </w:tcPr>
          <w:p w:rsidR="00E93BD5" w:rsidRPr="00E20A82" w:rsidRDefault="00E93BD5" w:rsidP="00DA2C42">
            <w:pPr>
              <w:spacing w:before="0"/>
              <w:ind w:firstLine="0"/>
              <w:jc w:val="center"/>
              <w:rPr>
                <w:sz w:val="22"/>
                <w:szCs w:val="22"/>
                <w:lang w:val="en-US" w:eastAsia="x-none"/>
              </w:rPr>
            </w:pPr>
          </w:p>
        </w:tc>
        <w:tc>
          <w:tcPr>
            <w:tcW w:w="2117" w:type="pct"/>
            <w:gridSpan w:val="2"/>
            <w:tcBorders>
              <w:top w:val="single" w:sz="4" w:space="0" w:color="auto"/>
            </w:tcBorders>
            <w:vAlign w:val="center"/>
          </w:tcPr>
          <w:p w:rsidR="00E93BD5" w:rsidRPr="00E20A82" w:rsidRDefault="00E93BD5" w:rsidP="00DA2C42">
            <w:pPr>
              <w:spacing w:before="0"/>
              <w:ind w:firstLine="34"/>
              <w:rPr>
                <w:sz w:val="22"/>
                <w:szCs w:val="22"/>
                <w:lang w:eastAsia="x-none"/>
              </w:rPr>
            </w:pPr>
            <w:r w:rsidRPr="00E20A82">
              <w:rPr>
                <w:sz w:val="22"/>
                <w:szCs w:val="22"/>
                <w:lang w:eastAsia="x-none"/>
              </w:rPr>
              <w:t>ПАО СБЕРБАНК</w:t>
            </w:r>
          </w:p>
        </w:tc>
      </w:tr>
      <w:tr w:rsidR="00E93BD5" w:rsidRPr="00E20A82" w:rsidTr="00DA2C42">
        <w:trPr>
          <w:gridAfter w:val="2"/>
          <w:wAfter w:w="2291" w:type="pct"/>
        </w:trPr>
        <w:tc>
          <w:tcPr>
            <w:tcW w:w="592" w:type="pct"/>
            <w:gridSpan w:val="2"/>
          </w:tcPr>
          <w:p w:rsidR="00E93BD5" w:rsidRPr="00E20A82" w:rsidRDefault="00E93BD5" w:rsidP="00DA2C42">
            <w:pPr>
              <w:spacing w:before="0"/>
              <w:ind w:firstLine="0"/>
              <w:jc w:val="center"/>
              <w:rPr>
                <w:sz w:val="22"/>
                <w:szCs w:val="22"/>
                <w:lang w:val="en-US" w:eastAsia="x-none"/>
              </w:rPr>
            </w:pPr>
          </w:p>
        </w:tc>
        <w:tc>
          <w:tcPr>
            <w:tcW w:w="2117" w:type="pct"/>
            <w:gridSpan w:val="2"/>
            <w:vAlign w:val="center"/>
          </w:tcPr>
          <w:p w:rsidR="00E93BD5" w:rsidRPr="00E20A82" w:rsidRDefault="00E93BD5" w:rsidP="00DA2C42">
            <w:pPr>
              <w:spacing w:before="0"/>
              <w:ind w:firstLine="34"/>
              <w:rPr>
                <w:sz w:val="22"/>
                <w:szCs w:val="22"/>
                <w:lang w:eastAsia="x-none"/>
              </w:rPr>
            </w:pPr>
            <w:r w:rsidRPr="00E20A82">
              <w:rPr>
                <w:sz w:val="22"/>
                <w:szCs w:val="22"/>
                <w:lang w:eastAsia="x-none"/>
              </w:rPr>
              <w:t>ПАО РОСБАНК</w:t>
            </w:r>
          </w:p>
        </w:tc>
      </w:tr>
      <w:tr w:rsidR="00E93BD5" w:rsidRPr="00E20A82" w:rsidTr="00DA2C42">
        <w:trPr>
          <w:gridAfter w:val="2"/>
          <w:wAfter w:w="2291" w:type="pct"/>
        </w:trPr>
        <w:tc>
          <w:tcPr>
            <w:tcW w:w="592" w:type="pct"/>
            <w:gridSpan w:val="2"/>
          </w:tcPr>
          <w:p w:rsidR="00E93BD5" w:rsidRPr="00E20A82" w:rsidRDefault="00E93BD5" w:rsidP="00DA2C42">
            <w:pPr>
              <w:spacing w:before="0"/>
              <w:ind w:firstLine="0"/>
              <w:jc w:val="center"/>
              <w:rPr>
                <w:sz w:val="22"/>
                <w:szCs w:val="22"/>
                <w:lang w:val="en-US" w:eastAsia="x-none"/>
              </w:rPr>
            </w:pPr>
          </w:p>
        </w:tc>
        <w:tc>
          <w:tcPr>
            <w:tcW w:w="2117" w:type="pct"/>
            <w:gridSpan w:val="2"/>
            <w:vAlign w:val="center"/>
          </w:tcPr>
          <w:p w:rsidR="00E93BD5" w:rsidRPr="00E20A82" w:rsidRDefault="00E93BD5" w:rsidP="00DA2C42">
            <w:pPr>
              <w:spacing w:before="0"/>
              <w:ind w:firstLine="34"/>
              <w:rPr>
                <w:sz w:val="22"/>
                <w:szCs w:val="22"/>
                <w:lang w:eastAsia="x-none"/>
              </w:rPr>
            </w:pPr>
            <w:r w:rsidRPr="00E20A82">
              <w:rPr>
                <w:sz w:val="22"/>
                <w:szCs w:val="22"/>
                <w:lang w:eastAsia="x-none"/>
              </w:rPr>
              <w:t>АО АЛЬФА-БАНК</w:t>
            </w:r>
          </w:p>
        </w:tc>
      </w:tr>
      <w:tr w:rsidR="00E93BD5" w:rsidRPr="00E20A82" w:rsidTr="00DA2C42">
        <w:trPr>
          <w:gridAfter w:val="2"/>
          <w:wAfter w:w="2291" w:type="pct"/>
        </w:trPr>
        <w:tc>
          <w:tcPr>
            <w:tcW w:w="592" w:type="pct"/>
            <w:gridSpan w:val="2"/>
          </w:tcPr>
          <w:p w:rsidR="00E93BD5" w:rsidRPr="00E20A82" w:rsidRDefault="00E93BD5" w:rsidP="00DA2C42">
            <w:pPr>
              <w:spacing w:before="0"/>
              <w:ind w:firstLine="0"/>
              <w:jc w:val="center"/>
              <w:rPr>
                <w:sz w:val="22"/>
                <w:szCs w:val="22"/>
                <w:lang w:val="en-US" w:eastAsia="x-none"/>
              </w:rPr>
            </w:pPr>
          </w:p>
        </w:tc>
        <w:tc>
          <w:tcPr>
            <w:tcW w:w="2117" w:type="pct"/>
            <w:gridSpan w:val="2"/>
            <w:vAlign w:val="center"/>
          </w:tcPr>
          <w:p w:rsidR="00E93BD5" w:rsidRPr="00E20A82" w:rsidRDefault="00E93BD5" w:rsidP="00DA2C42">
            <w:pPr>
              <w:spacing w:before="0"/>
              <w:ind w:firstLine="34"/>
              <w:rPr>
                <w:sz w:val="22"/>
                <w:szCs w:val="22"/>
                <w:lang w:eastAsia="x-none"/>
              </w:rPr>
            </w:pPr>
            <w:r w:rsidRPr="00E20A82">
              <w:rPr>
                <w:sz w:val="22"/>
                <w:szCs w:val="22"/>
                <w:lang w:eastAsia="x-none"/>
              </w:rPr>
              <w:t>БАНК ГПБ (АО)</w:t>
            </w:r>
          </w:p>
        </w:tc>
      </w:tr>
      <w:tr w:rsidR="00E93BD5" w:rsidRPr="00E20A82" w:rsidTr="00DA2C42">
        <w:trPr>
          <w:gridAfter w:val="2"/>
          <w:wAfter w:w="2291" w:type="pct"/>
        </w:trPr>
        <w:tc>
          <w:tcPr>
            <w:tcW w:w="592" w:type="pct"/>
            <w:gridSpan w:val="2"/>
          </w:tcPr>
          <w:p w:rsidR="00E93BD5" w:rsidRPr="00E20A82" w:rsidRDefault="00E93BD5" w:rsidP="00DA2C42">
            <w:pPr>
              <w:spacing w:before="0"/>
              <w:ind w:firstLine="0"/>
              <w:jc w:val="center"/>
              <w:rPr>
                <w:sz w:val="22"/>
                <w:szCs w:val="22"/>
                <w:lang w:val="en-US" w:eastAsia="x-none"/>
              </w:rPr>
            </w:pPr>
          </w:p>
        </w:tc>
        <w:tc>
          <w:tcPr>
            <w:tcW w:w="2117" w:type="pct"/>
            <w:gridSpan w:val="2"/>
            <w:vAlign w:val="center"/>
          </w:tcPr>
          <w:p w:rsidR="00E93BD5" w:rsidRPr="00E20A82" w:rsidRDefault="00E93BD5" w:rsidP="00DA2C42">
            <w:pPr>
              <w:spacing w:before="0"/>
              <w:ind w:firstLine="34"/>
              <w:rPr>
                <w:sz w:val="22"/>
                <w:szCs w:val="22"/>
                <w:lang w:eastAsia="x-none"/>
              </w:rPr>
            </w:pPr>
            <w:r w:rsidRPr="00E20A82">
              <w:rPr>
                <w:sz w:val="22"/>
                <w:szCs w:val="22"/>
                <w:lang w:eastAsia="x-none"/>
              </w:rPr>
              <w:t>БАНК ВТБ (ПАО)</w:t>
            </w:r>
          </w:p>
        </w:tc>
      </w:tr>
      <w:tr w:rsidR="00E93BD5" w:rsidRPr="00E20A82" w:rsidTr="00DA2C42">
        <w:trPr>
          <w:gridAfter w:val="2"/>
          <w:wAfter w:w="2291" w:type="pct"/>
        </w:trPr>
        <w:tc>
          <w:tcPr>
            <w:tcW w:w="592" w:type="pct"/>
            <w:gridSpan w:val="2"/>
          </w:tcPr>
          <w:p w:rsidR="00E93BD5" w:rsidRPr="00E20A82" w:rsidRDefault="00E93BD5" w:rsidP="00DA2C42">
            <w:pPr>
              <w:spacing w:before="0"/>
              <w:ind w:firstLine="0"/>
              <w:jc w:val="center"/>
              <w:rPr>
                <w:sz w:val="22"/>
                <w:szCs w:val="22"/>
                <w:lang w:val="en-US" w:eastAsia="x-none"/>
              </w:rPr>
            </w:pPr>
          </w:p>
        </w:tc>
        <w:tc>
          <w:tcPr>
            <w:tcW w:w="2117" w:type="pct"/>
            <w:gridSpan w:val="2"/>
            <w:vAlign w:val="center"/>
          </w:tcPr>
          <w:p w:rsidR="00E93BD5" w:rsidRPr="00E20A82" w:rsidRDefault="00E93BD5" w:rsidP="00DA2C42">
            <w:pPr>
              <w:spacing w:before="0"/>
              <w:ind w:firstLine="34"/>
              <w:rPr>
                <w:sz w:val="22"/>
                <w:szCs w:val="22"/>
                <w:lang w:eastAsia="x-none"/>
              </w:rPr>
            </w:pPr>
            <w:r w:rsidRPr="00E20A82">
              <w:rPr>
                <w:sz w:val="22"/>
                <w:szCs w:val="22"/>
                <w:lang w:eastAsia="x-none"/>
              </w:rPr>
              <w:t>АО ЮНИКРЕДИТ БАНК</w:t>
            </w:r>
          </w:p>
        </w:tc>
      </w:tr>
      <w:tr w:rsidR="00E93BD5" w:rsidRPr="00E20A82" w:rsidTr="00DA2C42">
        <w:trPr>
          <w:gridAfter w:val="2"/>
          <w:wAfter w:w="2291" w:type="pct"/>
        </w:trPr>
        <w:tc>
          <w:tcPr>
            <w:tcW w:w="592" w:type="pct"/>
            <w:gridSpan w:val="2"/>
          </w:tcPr>
          <w:p w:rsidR="00E93BD5" w:rsidRPr="00E20A82" w:rsidRDefault="00E93BD5" w:rsidP="00DA2C42">
            <w:pPr>
              <w:spacing w:before="0"/>
              <w:ind w:firstLine="0"/>
              <w:jc w:val="center"/>
              <w:rPr>
                <w:sz w:val="22"/>
                <w:szCs w:val="22"/>
                <w:lang w:val="en-US" w:eastAsia="x-none"/>
              </w:rPr>
            </w:pPr>
          </w:p>
        </w:tc>
        <w:tc>
          <w:tcPr>
            <w:tcW w:w="2117" w:type="pct"/>
            <w:gridSpan w:val="2"/>
            <w:vAlign w:val="center"/>
          </w:tcPr>
          <w:p w:rsidR="00E93BD5" w:rsidRPr="00E20A82" w:rsidRDefault="00E93BD5" w:rsidP="00DA2C42">
            <w:pPr>
              <w:spacing w:before="0"/>
              <w:ind w:firstLine="34"/>
              <w:rPr>
                <w:sz w:val="22"/>
                <w:szCs w:val="22"/>
                <w:lang w:eastAsia="x-none"/>
              </w:rPr>
            </w:pPr>
            <w:r w:rsidRPr="00E20A82">
              <w:rPr>
                <w:sz w:val="22"/>
                <w:szCs w:val="22"/>
                <w:lang w:eastAsia="x-none"/>
              </w:rPr>
              <w:t>ПАО МКБ</w:t>
            </w:r>
          </w:p>
        </w:tc>
      </w:tr>
      <w:tr w:rsidR="00E93BD5" w:rsidRPr="00E20A82" w:rsidTr="00DA2C42">
        <w:trPr>
          <w:gridAfter w:val="2"/>
          <w:wAfter w:w="2291" w:type="pct"/>
        </w:trPr>
        <w:tc>
          <w:tcPr>
            <w:tcW w:w="592" w:type="pct"/>
            <w:gridSpan w:val="2"/>
          </w:tcPr>
          <w:p w:rsidR="00E93BD5" w:rsidRPr="00E20A82" w:rsidRDefault="00E93BD5" w:rsidP="00DA2C42">
            <w:pPr>
              <w:spacing w:before="0"/>
              <w:ind w:firstLine="0"/>
              <w:jc w:val="center"/>
              <w:rPr>
                <w:sz w:val="22"/>
                <w:szCs w:val="22"/>
                <w:lang w:val="en-US" w:eastAsia="x-none"/>
              </w:rPr>
            </w:pPr>
          </w:p>
        </w:tc>
        <w:tc>
          <w:tcPr>
            <w:tcW w:w="2117" w:type="pct"/>
            <w:gridSpan w:val="2"/>
            <w:vAlign w:val="center"/>
          </w:tcPr>
          <w:p w:rsidR="00E93BD5" w:rsidRPr="00E20A82" w:rsidRDefault="00E93BD5" w:rsidP="00DA2C42">
            <w:pPr>
              <w:spacing w:before="0"/>
              <w:ind w:firstLine="34"/>
              <w:rPr>
                <w:sz w:val="22"/>
                <w:szCs w:val="22"/>
                <w:lang w:eastAsia="x-none"/>
              </w:rPr>
            </w:pPr>
            <w:r w:rsidRPr="00E20A82">
              <w:rPr>
                <w:sz w:val="22"/>
                <w:szCs w:val="22"/>
                <w:lang w:eastAsia="x-none"/>
              </w:rPr>
              <w:t>ПАО СОВКОМБАНК</w:t>
            </w:r>
          </w:p>
        </w:tc>
      </w:tr>
      <w:tr w:rsidR="00E93BD5" w:rsidRPr="00E20A82" w:rsidTr="00DA2C42">
        <w:trPr>
          <w:gridAfter w:val="2"/>
          <w:wAfter w:w="2291" w:type="pct"/>
        </w:trPr>
        <w:tc>
          <w:tcPr>
            <w:tcW w:w="592" w:type="pct"/>
            <w:gridSpan w:val="2"/>
          </w:tcPr>
          <w:p w:rsidR="00E93BD5" w:rsidRPr="00E20A82" w:rsidRDefault="00E93BD5" w:rsidP="00DA2C42">
            <w:pPr>
              <w:spacing w:before="0"/>
              <w:ind w:firstLine="0"/>
              <w:jc w:val="center"/>
              <w:rPr>
                <w:sz w:val="22"/>
                <w:szCs w:val="22"/>
                <w:lang w:val="en-US" w:eastAsia="x-none"/>
              </w:rPr>
            </w:pPr>
          </w:p>
        </w:tc>
        <w:tc>
          <w:tcPr>
            <w:tcW w:w="2117" w:type="pct"/>
            <w:gridSpan w:val="2"/>
            <w:vAlign w:val="center"/>
          </w:tcPr>
          <w:p w:rsidR="00E93BD5" w:rsidRPr="00E20A82" w:rsidRDefault="00E93BD5" w:rsidP="00DA2C42">
            <w:pPr>
              <w:spacing w:before="0"/>
              <w:ind w:firstLine="34"/>
              <w:rPr>
                <w:sz w:val="22"/>
                <w:szCs w:val="22"/>
                <w:lang w:eastAsia="x-none"/>
              </w:rPr>
            </w:pPr>
            <w:r w:rsidRPr="00E20A82">
              <w:rPr>
                <w:sz w:val="22"/>
                <w:szCs w:val="22"/>
                <w:lang w:eastAsia="x-none"/>
              </w:rPr>
              <w:t>ПАО БАНК «ФК ОТКРЫТИЕ»</w:t>
            </w:r>
          </w:p>
        </w:tc>
      </w:tr>
      <w:tr w:rsidR="00E93BD5" w:rsidRPr="00E20A82" w:rsidTr="00DA2C42">
        <w:trPr>
          <w:gridAfter w:val="2"/>
          <w:wAfter w:w="2291" w:type="pct"/>
        </w:trPr>
        <w:tc>
          <w:tcPr>
            <w:tcW w:w="592" w:type="pct"/>
            <w:gridSpan w:val="2"/>
          </w:tcPr>
          <w:p w:rsidR="00E93BD5" w:rsidRPr="00E20A82" w:rsidRDefault="00E93BD5" w:rsidP="00DA2C42">
            <w:pPr>
              <w:spacing w:before="0"/>
              <w:ind w:firstLine="0"/>
              <w:jc w:val="center"/>
              <w:rPr>
                <w:sz w:val="22"/>
                <w:szCs w:val="22"/>
                <w:lang w:val="en-US" w:eastAsia="x-none"/>
              </w:rPr>
            </w:pPr>
          </w:p>
        </w:tc>
        <w:tc>
          <w:tcPr>
            <w:tcW w:w="2117" w:type="pct"/>
            <w:gridSpan w:val="2"/>
            <w:vAlign w:val="center"/>
          </w:tcPr>
          <w:p w:rsidR="00E93BD5" w:rsidRPr="00E20A82" w:rsidRDefault="00E93BD5" w:rsidP="00DA2C42">
            <w:pPr>
              <w:spacing w:before="0"/>
              <w:ind w:firstLine="34"/>
              <w:rPr>
                <w:sz w:val="22"/>
                <w:szCs w:val="22"/>
                <w:lang w:val="en-US" w:eastAsia="x-none"/>
              </w:rPr>
            </w:pPr>
            <w:r w:rsidRPr="00E20A82">
              <w:rPr>
                <w:sz w:val="22"/>
                <w:szCs w:val="22"/>
                <w:lang w:eastAsia="x-none"/>
              </w:rPr>
              <w:t xml:space="preserve">АО </w:t>
            </w:r>
            <w:r w:rsidRPr="00E20A82">
              <w:rPr>
                <w:sz w:val="22"/>
                <w:szCs w:val="22"/>
                <w:lang w:val="en-US" w:eastAsia="x-none"/>
              </w:rPr>
              <w:t>РАЙФФАЙЗЕНБАНК</w:t>
            </w:r>
          </w:p>
        </w:tc>
      </w:tr>
      <w:tr w:rsidR="00E93BD5" w:rsidRPr="00E20A82" w:rsidTr="00DA2C42">
        <w:trPr>
          <w:gridAfter w:val="2"/>
          <w:wAfter w:w="2291" w:type="pct"/>
        </w:trPr>
        <w:tc>
          <w:tcPr>
            <w:tcW w:w="592" w:type="pct"/>
            <w:gridSpan w:val="2"/>
          </w:tcPr>
          <w:p w:rsidR="00E93BD5" w:rsidRPr="00E20A82" w:rsidRDefault="00E93BD5" w:rsidP="00DA2C42">
            <w:pPr>
              <w:spacing w:before="0"/>
              <w:ind w:firstLine="0"/>
              <w:jc w:val="center"/>
              <w:rPr>
                <w:sz w:val="22"/>
                <w:szCs w:val="22"/>
                <w:lang w:val="en-US" w:eastAsia="x-none"/>
              </w:rPr>
            </w:pPr>
          </w:p>
        </w:tc>
        <w:tc>
          <w:tcPr>
            <w:tcW w:w="2117" w:type="pct"/>
            <w:gridSpan w:val="2"/>
            <w:vAlign w:val="center"/>
          </w:tcPr>
          <w:p w:rsidR="00E93BD5" w:rsidRPr="00E20A82" w:rsidRDefault="00E93BD5" w:rsidP="00DA2C42">
            <w:pPr>
              <w:spacing w:before="0"/>
              <w:ind w:firstLine="34"/>
              <w:rPr>
                <w:sz w:val="22"/>
                <w:szCs w:val="22"/>
                <w:lang w:eastAsia="x-none"/>
              </w:rPr>
            </w:pPr>
            <w:r w:rsidRPr="00E20A82">
              <w:rPr>
                <w:sz w:val="22"/>
                <w:szCs w:val="22"/>
                <w:lang w:eastAsia="x-none"/>
              </w:rPr>
              <w:t>ПАО ПРОМСВЯЗЬБАНК</w:t>
            </w:r>
          </w:p>
        </w:tc>
      </w:tr>
      <w:tr w:rsidR="00E93BD5" w:rsidRPr="00E20A82" w:rsidTr="00DA2C42">
        <w:trPr>
          <w:gridAfter w:val="2"/>
          <w:wAfter w:w="2291" w:type="pct"/>
        </w:trPr>
        <w:tc>
          <w:tcPr>
            <w:tcW w:w="592" w:type="pct"/>
            <w:gridSpan w:val="2"/>
          </w:tcPr>
          <w:p w:rsidR="00E93BD5" w:rsidRPr="00E20A82" w:rsidRDefault="00E93BD5" w:rsidP="00DA2C42">
            <w:pPr>
              <w:spacing w:before="0"/>
              <w:ind w:firstLine="0"/>
              <w:jc w:val="center"/>
              <w:rPr>
                <w:sz w:val="22"/>
                <w:szCs w:val="22"/>
                <w:lang w:val="en-US" w:eastAsia="x-none"/>
              </w:rPr>
            </w:pPr>
          </w:p>
        </w:tc>
        <w:tc>
          <w:tcPr>
            <w:tcW w:w="2117" w:type="pct"/>
            <w:gridSpan w:val="2"/>
            <w:vAlign w:val="center"/>
          </w:tcPr>
          <w:p w:rsidR="00E93BD5" w:rsidRPr="00E20A82" w:rsidRDefault="00E93BD5" w:rsidP="00DA2C42">
            <w:pPr>
              <w:spacing w:before="0"/>
              <w:ind w:firstLine="34"/>
              <w:rPr>
                <w:sz w:val="22"/>
                <w:szCs w:val="22"/>
                <w:lang w:eastAsia="x-none"/>
              </w:rPr>
            </w:pPr>
            <w:r w:rsidRPr="00E20A82">
              <w:rPr>
                <w:sz w:val="22"/>
                <w:szCs w:val="22"/>
                <w:lang w:eastAsia="x-none"/>
              </w:rPr>
              <w:t>АО РОССЕЛЬХОЗБАНК</w:t>
            </w:r>
          </w:p>
        </w:tc>
      </w:tr>
      <w:tr w:rsidR="00E93BD5" w:rsidRPr="00E20A82" w:rsidTr="00DA2C42">
        <w:trPr>
          <w:gridAfter w:val="2"/>
          <w:wAfter w:w="2291" w:type="pct"/>
        </w:trPr>
        <w:tc>
          <w:tcPr>
            <w:tcW w:w="592" w:type="pct"/>
            <w:gridSpan w:val="2"/>
          </w:tcPr>
          <w:p w:rsidR="00E93BD5" w:rsidRPr="00E20A82" w:rsidRDefault="00E93BD5" w:rsidP="00DA2C42">
            <w:pPr>
              <w:spacing w:before="0"/>
              <w:ind w:firstLine="0"/>
              <w:jc w:val="center"/>
              <w:rPr>
                <w:sz w:val="22"/>
                <w:szCs w:val="22"/>
                <w:lang w:val="en-US" w:eastAsia="x-none"/>
              </w:rPr>
            </w:pPr>
          </w:p>
        </w:tc>
        <w:tc>
          <w:tcPr>
            <w:tcW w:w="2117" w:type="pct"/>
            <w:gridSpan w:val="2"/>
            <w:vAlign w:val="center"/>
          </w:tcPr>
          <w:p w:rsidR="00E93BD5" w:rsidRPr="00E20A82" w:rsidRDefault="00E93BD5" w:rsidP="00DA2C42">
            <w:pPr>
              <w:spacing w:before="0"/>
              <w:ind w:firstLine="34"/>
              <w:rPr>
                <w:sz w:val="22"/>
                <w:szCs w:val="22"/>
                <w:lang w:eastAsia="x-none"/>
              </w:rPr>
            </w:pPr>
          </w:p>
        </w:tc>
      </w:tr>
    </w:tbl>
    <w:p w:rsidR="00616632" w:rsidRPr="00E20A82" w:rsidRDefault="00616632" w:rsidP="00DA2C42">
      <w:pPr>
        <w:tabs>
          <w:tab w:val="left" w:pos="426"/>
        </w:tabs>
        <w:spacing w:before="0"/>
        <w:ind w:left="426" w:firstLine="0"/>
        <w:rPr>
          <w:sz w:val="22"/>
          <w:szCs w:val="22"/>
        </w:rPr>
      </w:pPr>
    </w:p>
    <w:p w:rsidR="00F76C2D" w:rsidRPr="00E20A82" w:rsidRDefault="00F76C2D" w:rsidP="00DA2C42">
      <w:pPr>
        <w:spacing w:before="0"/>
        <w:ind w:firstLine="0"/>
        <w:rPr>
          <w:sz w:val="22"/>
          <w:szCs w:val="22"/>
        </w:rPr>
      </w:pPr>
      <w:r w:rsidRPr="00E20A82">
        <w:rPr>
          <w:sz w:val="22"/>
          <w:szCs w:val="22"/>
        </w:rPr>
        <w:t>*Либо иные</w:t>
      </w:r>
      <w:r w:rsidR="00F76215" w:rsidRPr="00E20A82">
        <w:rPr>
          <w:sz w:val="22"/>
          <w:szCs w:val="22"/>
        </w:rPr>
        <w:t xml:space="preserve"> российские</w:t>
      </w:r>
      <w:r w:rsidRPr="00E20A82">
        <w:rPr>
          <w:sz w:val="22"/>
          <w:szCs w:val="22"/>
        </w:rPr>
        <w:t xml:space="preserve"> банки с</w:t>
      </w:r>
      <w:r w:rsidR="00F76215" w:rsidRPr="00E20A82">
        <w:rPr>
          <w:sz w:val="22"/>
          <w:szCs w:val="22"/>
        </w:rPr>
        <w:t xml:space="preserve"> рейтингом не ниже АА+ национальных агентств Эксперт РА, АКРА, НКР, НРА, либо иностранные банки с </w:t>
      </w:r>
      <w:r w:rsidRPr="00E20A82">
        <w:rPr>
          <w:sz w:val="22"/>
          <w:szCs w:val="22"/>
        </w:rPr>
        <w:t>международным рейтингом «</w:t>
      </w:r>
      <w:r w:rsidR="00F6053D" w:rsidRPr="00E20A82">
        <w:rPr>
          <w:sz w:val="22"/>
          <w:szCs w:val="22"/>
          <w:lang w:val="en-US"/>
        </w:rPr>
        <w:t>BB</w:t>
      </w:r>
      <w:r w:rsidR="00F6053D" w:rsidRPr="00E20A82">
        <w:rPr>
          <w:sz w:val="22"/>
          <w:szCs w:val="22"/>
        </w:rPr>
        <w:t>+</w:t>
      </w:r>
      <w:r w:rsidRPr="00E20A82">
        <w:rPr>
          <w:sz w:val="22"/>
          <w:szCs w:val="22"/>
        </w:rPr>
        <w:t xml:space="preserve">» и выше по официальной шкале рейтинговых агентств </w:t>
      </w:r>
      <w:r w:rsidRPr="00E20A82">
        <w:rPr>
          <w:sz w:val="22"/>
          <w:szCs w:val="22"/>
          <w:lang w:val="en-GB"/>
        </w:rPr>
        <w:t>S</w:t>
      </w:r>
      <w:r w:rsidRPr="00E20A82">
        <w:rPr>
          <w:sz w:val="22"/>
          <w:szCs w:val="22"/>
        </w:rPr>
        <w:t>&amp;</w:t>
      </w:r>
      <w:r w:rsidRPr="00E20A82">
        <w:rPr>
          <w:sz w:val="22"/>
          <w:szCs w:val="22"/>
          <w:lang w:val="en-GB"/>
        </w:rPr>
        <w:t>P</w:t>
      </w:r>
      <w:r w:rsidRPr="00E20A82">
        <w:rPr>
          <w:sz w:val="22"/>
          <w:szCs w:val="22"/>
        </w:rPr>
        <w:t xml:space="preserve"> или </w:t>
      </w:r>
      <w:proofErr w:type="gramStart"/>
      <w:r w:rsidRPr="00E20A82">
        <w:rPr>
          <w:sz w:val="22"/>
          <w:szCs w:val="22"/>
          <w:lang w:val="en-GB"/>
        </w:rPr>
        <w:t>Fitch</w:t>
      </w:r>
      <w:proofErr w:type="gramEnd"/>
      <w:r w:rsidRPr="00E20A82">
        <w:rPr>
          <w:sz w:val="22"/>
          <w:szCs w:val="22"/>
        </w:rPr>
        <w:t xml:space="preserve"> или «</w:t>
      </w:r>
      <w:r w:rsidR="00F6053D" w:rsidRPr="00E20A82">
        <w:rPr>
          <w:sz w:val="22"/>
          <w:szCs w:val="22"/>
        </w:rPr>
        <w:t>Ва1</w:t>
      </w:r>
      <w:r w:rsidRPr="00E20A82">
        <w:rPr>
          <w:sz w:val="22"/>
          <w:szCs w:val="22"/>
        </w:rPr>
        <w:t>» по официальной шкале р</w:t>
      </w:r>
      <w:r w:rsidR="00F6053D" w:rsidRPr="00E20A82">
        <w:rPr>
          <w:sz w:val="22"/>
          <w:szCs w:val="22"/>
        </w:rPr>
        <w:t xml:space="preserve">ейтингового агентства </w:t>
      </w:r>
      <w:r w:rsidR="00F6053D" w:rsidRPr="00E20A82">
        <w:rPr>
          <w:sz w:val="22"/>
          <w:szCs w:val="22"/>
          <w:lang w:val="en-GB"/>
        </w:rPr>
        <w:t>Mood</w:t>
      </w:r>
      <w:r w:rsidR="00F6053D" w:rsidRPr="00E20A82">
        <w:rPr>
          <w:sz w:val="22"/>
          <w:szCs w:val="22"/>
        </w:rPr>
        <w:t>у`</w:t>
      </w:r>
      <w:r w:rsidR="00F6053D" w:rsidRPr="00E20A82">
        <w:rPr>
          <w:sz w:val="22"/>
          <w:szCs w:val="22"/>
          <w:lang w:val="en-GB"/>
        </w:rPr>
        <w:t>s</w:t>
      </w:r>
      <w:r w:rsidR="00F6053D" w:rsidRPr="00E20A82">
        <w:rPr>
          <w:sz w:val="22"/>
          <w:szCs w:val="22"/>
        </w:rPr>
        <w:t>.</w:t>
      </w:r>
    </w:p>
    <w:p w:rsidR="004E17A0" w:rsidRPr="00E20A82" w:rsidRDefault="004E17A0" w:rsidP="00DA2C42">
      <w:pPr>
        <w:tabs>
          <w:tab w:val="left" w:pos="426"/>
        </w:tabs>
        <w:spacing w:before="0"/>
        <w:ind w:left="426" w:firstLine="0"/>
        <w:rPr>
          <w:sz w:val="22"/>
          <w:szCs w:val="22"/>
        </w:rPr>
      </w:pPr>
    </w:p>
    <w:p w:rsidR="004E17A0" w:rsidRPr="00E20A82" w:rsidRDefault="004E17A0" w:rsidP="00DA2C42">
      <w:pPr>
        <w:tabs>
          <w:tab w:val="left" w:pos="426"/>
        </w:tabs>
        <w:spacing w:before="0"/>
        <w:ind w:left="426" w:firstLine="0"/>
        <w:jc w:val="center"/>
        <w:rPr>
          <w:b/>
          <w:sz w:val="22"/>
          <w:szCs w:val="22"/>
          <w:lang w:eastAsia="x-none"/>
        </w:rPr>
      </w:pPr>
      <w:r w:rsidRPr="00E20A82">
        <w:rPr>
          <w:b/>
          <w:sz w:val="22"/>
          <w:szCs w:val="22"/>
          <w:lang w:eastAsia="x-none"/>
        </w:rPr>
        <w:t>Требования к Банковской гарантии</w:t>
      </w:r>
    </w:p>
    <w:p w:rsidR="00D35D3D" w:rsidRPr="00E20A82" w:rsidRDefault="00D35D3D" w:rsidP="00DA2C42">
      <w:pPr>
        <w:tabs>
          <w:tab w:val="left" w:pos="426"/>
        </w:tabs>
        <w:spacing w:before="0"/>
        <w:ind w:left="426" w:firstLine="0"/>
        <w:rPr>
          <w:sz w:val="22"/>
          <w:szCs w:val="22"/>
        </w:rPr>
      </w:pPr>
    </w:p>
    <w:p w:rsidR="00E20A82" w:rsidRPr="00E20A82" w:rsidRDefault="00E20A82" w:rsidP="00E20A82">
      <w:pPr>
        <w:ind w:left="709"/>
        <w:rPr>
          <w:rStyle w:val="FontStyle24"/>
          <w:rFonts w:ascii="Times New Roman" w:hAnsi="Times New Roman" w:cs="Times New Roman"/>
          <w:sz w:val="22"/>
          <w:szCs w:val="22"/>
        </w:rPr>
      </w:pPr>
      <w:r w:rsidRPr="00E20A82">
        <w:rPr>
          <w:rStyle w:val="FontStyle24"/>
          <w:rFonts w:ascii="Times New Roman" w:hAnsi="Times New Roman" w:cs="Times New Roman"/>
          <w:sz w:val="22"/>
          <w:szCs w:val="22"/>
        </w:rPr>
        <w:t>1. Требования, предъявляемые к банковской гарантии:</w:t>
      </w:r>
    </w:p>
    <w:p w:rsidR="00E20A82" w:rsidRPr="00E20A82" w:rsidRDefault="00E20A82" w:rsidP="00E20A82">
      <w:pPr>
        <w:ind w:firstLine="709"/>
        <w:rPr>
          <w:rStyle w:val="FontStyle24"/>
          <w:rFonts w:ascii="Times New Roman" w:hAnsi="Times New Roman" w:cs="Times New Roman"/>
          <w:b/>
          <w:sz w:val="22"/>
          <w:szCs w:val="22"/>
        </w:rPr>
      </w:pPr>
      <w:r w:rsidRPr="00E20A82">
        <w:rPr>
          <w:b/>
          <w:sz w:val="22"/>
          <w:szCs w:val="22"/>
        </w:rPr>
        <w:t>– </w:t>
      </w:r>
      <w:r w:rsidRPr="00E20A82">
        <w:rPr>
          <w:rStyle w:val="FontStyle24"/>
          <w:rFonts w:ascii="Times New Roman" w:hAnsi="Times New Roman" w:cs="Times New Roman"/>
          <w:b/>
          <w:sz w:val="22"/>
          <w:szCs w:val="22"/>
        </w:rPr>
        <w:t>выпущена банком, входящим в список утвержденных банков в рамках Распоряжения от 17.10.2024 № РД/ЗГДэф-45/24 «Об утверждении Методических указаний по оценке лимитов кредитного риска на банки для АО «ПГК»»;</w:t>
      </w:r>
    </w:p>
    <w:p w:rsidR="00E20A82" w:rsidRPr="00E20A82" w:rsidRDefault="00E20A82" w:rsidP="00E20A82">
      <w:pPr>
        <w:ind w:firstLine="709"/>
        <w:rPr>
          <w:rStyle w:val="FontStyle24"/>
          <w:rFonts w:ascii="Times New Roman" w:hAnsi="Times New Roman" w:cs="Times New Roman"/>
          <w:sz w:val="22"/>
          <w:szCs w:val="22"/>
        </w:rPr>
      </w:pPr>
      <w:r w:rsidRPr="00E20A82">
        <w:rPr>
          <w:sz w:val="22"/>
          <w:szCs w:val="22"/>
        </w:rPr>
        <w:t>– </w:t>
      </w:r>
      <w:r w:rsidRPr="00E20A82">
        <w:rPr>
          <w:rStyle w:val="FontStyle24"/>
          <w:rFonts w:ascii="Times New Roman" w:hAnsi="Times New Roman" w:cs="Times New Roman"/>
          <w:sz w:val="22"/>
          <w:szCs w:val="22"/>
        </w:rPr>
        <w:t>гарантия должна вступать в силу с даты выдачи;</w:t>
      </w:r>
    </w:p>
    <w:p w:rsidR="00E20A82" w:rsidRPr="00E20A82" w:rsidRDefault="00E20A82" w:rsidP="00E20A82">
      <w:pPr>
        <w:ind w:firstLine="709"/>
        <w:rPr>
          <w:rStyle w:val="FontStyle24"/>
          <w:rFonts w:ascii="Times New Roman" w:hAnsi="Times New Roman" w:cs="Times New Roman"/>
          <w:spacing w:val="-6"/>
          <w:sz w:val="22"/>
          <w:szCs w:val="22"/>
        </w:rPr>
      </w:pPr>
      <w:r w:rsidRPr="00E20A82">
        <w:rPr>
          <w:spacing w:val="-6"/>
          <w:sz w:val="22"/>
          <w:szCs w:val="22"/>
        </w:rPr>
        <w:t>– </w:t>
      </w:r>
      <w:r w:rsidRPr="00E20A82">
        <w:rPr>
          <w:rStyle w:val="FontStyle24"/>
          <w:rFonts w:ascii="Times New Roman" w:hAnsi="Times New Roman" w:cs="Times New Roman"/>
          <w:spacing w:val="-6"/>
          <w:sz w:val="22"/>
          <w:szCs w:val="22"/>
        </w:rPr>
        <w:t>текст гарантии должен соответствовать форме банковской гарантии (приложение) либо быть согласован с ДК</w:t>
      </w:r>
      <w:r w:rsidRPr="00E20A82">
        <w:rPr>
          <w:spacing w:val="-6"/>
          <w:sz w:val="22"/>
          <w:szCs w:val="22"/>
        </w:rPr>
        <w:t>Ф</w:t>
      </w:r>
      <w:r w:rsidRPr="00E20A82">
        <w:rPr>
          <w:rStyle w:val="FontStyle24"/>
          <w:rFonts w:ascii="Times New Roman" w:hAnsi="Times New Roman" w:cs="Times New Roman"/>
          <w:spacing w:val="-6"/>
          <w:sz w:val="22"/>
          <w:szCs w:val="22"/>
        </w:rPr>
        <w:t xml:space="preserve"> и ДЮ (при необходимости);</w:t>
      </w:r>
    </w:p>
    <w:p w:rsidR="00E20A82" w:rsidRPr="00E20A82" w:rsidRDefault="00E20A82" w:rsidP="00E20A82">
      <w:pPr>
        <w:ind w:firstLine="709"/>
        <w:rPr>
          <w:rStyle w:val="FontStyle24"/>
          <w:rFonts w:ascii="Times New Roman" w:hAnsi="Times New Roman" w:cs="Times New Roman"/>
          <w:sz w:val="22"/>
          <w:szCs w:val="22"/>
        </w:rPr>
      </w:pPr>
      <w:r w:rsidRPr="00E20A82">
        <w:rPr>
          <w:sz w:val="22"/>
          <w:szCs w:val="22"/>
        </w:rPr>
        <w:t>– </w:t>
      </w:r>
      <w:r w:rsidRPr="00E20A82">
        <w:rPr>
          <w:rStyle w:val="FontStyle24"/>
          <w:rFonts w:ascii="Times New Roman" w:hAnsi="Times New Roman" w:cs="Times New Roman"/>
          <w:sz w:val="22"/>
          <w:szCs w:val="22"/>
        </w:rPr>
        <w:t xml:space="preserve">срок гарантии должен превышать срок предоставления отсрочки платежа (для кредитного лимита) и выполнения работ, оказания услуг, поставки товара (для лимита авансирования) в соответствии с Договором или дополнительным соглашением на срок, рассчитанный по формуле: Срок отсрочки или </w:t>
      </w:r>
      <w:r w:rsidRPr="007B5A4D">
        <w:rPr>
          <w:rStyle w:val="FontStyle24"/>
          <w:rFonts w:ascii="Times New Roman" w:hAnsi="Times New Roman" w:cs="Times New Roman"/>
          <w:b/>
          <w:sz w:val="22"/>
          <w:szCs w:val="22"/>
        </w:rPr>
        <w:t>Срок закрытия аванса + 30 календарных дней.</w:t>
      </w:r>
      <w:r w:rsidRPr="00E20A82">
        <w:rPr>
          <w:rStyle w:val="FontStyle24"/>
          <w:rFonts w:ascii="Times New Roman" w:hAnsi="Times New Roman" w:cs="Times New Roman"/>
          <w:sz w:val="22"/>
          <w:szCs w:val="22"/>
        </w:rPr>
        <w:t xml:space="preserve"> Возможна корректировка указанного превышения срока гарантии по согласованию с ДКФ и ДЮ;</w:t>
      </w:r>
    </w:p>
    <w:p w:rsidR="00E20A82" w:rsidRPr="00C13635" w:rsidRDefault="00E20A82" w:rsidP="00E20A82">
      <w:pPr>
        <w:ind w:firstLine="709"/>
        <w:rPr>
          <w:rStyle w:val="FontStyle24"/>
          <w:rFonts w:ascii="Times New Roman" w:hAnsi="Times New Roman" w:cs="Times New Roman"/>
          <w:b/>
          <w:sz w:val="22"/>
          <w:szCs w:val="22"/>
        </w:rPr>
      </w:pPr>
      <w:r w:rsidRPr="00C13635">
        <w:rPr>
          <w:b/>
          <w:sz w:val="22"/>
          <w:szCs w:val="22"/>
        </w:rPr>
        <w:t>– </w:t>
      </w:r>
      <w:r w:rsidRPr="00C13635">
        <w:rPr>
          <w:rStyle w:val="FontStyle24"/>
          <w:rFonts w:ascii="Times New Roman" w:hAnsi="Times New Roman" w:cs="Times New Roman"/>
          <w:b/>
          <w:sz w:val="22"/>
          <w:szCs w:val="22"/>
        </w:rPr>
        <w:t>сумма гарантии превышает согласованный лимит авансирования как минимум на 10%. Возможна корректировка указанного превышения суммы гарантии по согласованию с ДКФ и ДЮ;</w:t>
      </w:r>
    </w:p>
    <w:p w:rsidR="00E20A82" w:rsidRPr="001F795A" w:rsidRDefault="00E20A82" w:rsidP="00E20A82">
      <w:pPr>
        <w:ind w:firstLine="709"/>
        <w:rPr>
          <w:rStyle w:val="FontStyle24"/>
          <w:rFonts w:ascii="Times New Roman" w:hAnsi="Times New Roman" w:cs="Times New Roman"/>
          <w:b/>
          <w:sz w:val="22"/>
          <w:szCs w:val="22"/>
        </w:rPr>
      </w:pPr>
      <w:r w:rsidRPr="00E20A82">
        <w:rPr>
          <w:sz w:val="22"/>
          <w:szCs w:val="22"/>
        </w:rPr>
        <w:t>– </w:t>
      </w:r>
      <w:r w:rsidRPr="001F795A">
        <w:rPr>
          <w:b/>
          <w:sz w:val="22"/>
          <w:szCs w:val="22"/>
        </w:rPr>
        <w:t>гарантия должна быть безусловной и безотзывной;</w:t>
      </w:r>
    </w:p>
    <w:p w:rsidR="00E20A82" w:rsidRPr="00E20A82" w:rsidRDefault="00E20A82" w:rsidP="00E20A82">
      <w:pPr>
        <w:ind w:firstLine="709"/>
        <w:rPr>
          <w:rStyle w:val="FontStyle24"/>
          <w:rFonts w:ascii="Times New Roman" w:hAnsi="Times New Roman" w:cs="Times New Roman"/>
          <w:sz w:val="22"/>
          <w:szCs w:val="22"/>
        </w:rPr>
      </w:pPr>
      <w:r w:rsidRPr="00E20A82">
        <w:rPr>
          <w:sz w:val="22"/>
          <w:szCs w:val="22"/>
        </w:rPr>
        <w:t>– </w:t>
      </w:r>
      <w:r w:rsidRPr="00E20A82">
        <w:rPr>
          <w:rStyle w:val="FontStyle24"/>
          <w:rFonts w:ascii="Times New Roman" w:hAnsi="Times New Roman" w:cs="Times New Roman"/>
          <w:sz w:val="22"/>
          <w:szCs w:val="22"/>
        </w:rPr>
        <w:t>оригиналы банковских гарантий на бумажных носителях хранятся в ДК</w:t>
      </w:r>
      <w:r w:rsidRPr="00E20A82">
        <w:rPr>
          <w:sz w:val="22"/>
          <w:szCs w:val="22"/>
        </w:rPr>
        <w:t>Ф</w:t>
      </w:r>
      <w:r w:rsidRPr="00E20A82">
        <w:rPr>
          <w:rStyle w:val="FontStyle24"/>
          <w:rFonts w:ascii="Times New Roman" w:hAnsi="Times New Roman" w:cs="Times New Roman"/>
          <w:sz w:val="22"/>
          <w:szCs w:val="22"/>
        </w:rPr>
        <w:t>.</w:t>
      </w:r>
      <w:bookmarkStart w:id="0" w:name="_GoBack"/>
      <w:bookmarkEnd w:id="0"/>
    </w:p>
    <w:p w:rsidR="00E20A82" w:rsidRPr="00E20A82" w:rsidRDefault="00E20A82" w:rsidP="00E20A82">
      <w:pPr>
        <w:pStyle w:val="a7"/>
        <w:ind w:left="0" w:firstLine="709"/>
        <w:rPr>
          <w:rStyle w:val="FontStyle24"/>
          <w:rFonts w:ascii="Times New Roman" w:hAnsi="Times New Roman" w:cs="Times New Roman"/>
          <w:sz w:val="22"/>
          <w:szCs w:val="22"/>
        </w:rPr>
      </w:pPr>
      <w:r w:rsidRPr="00E20A82">
        <w:rPr>
          <w:rStyle w:val="FontStyle24"/>
          <w:rFonts w:ascii="Times New Roman" w:hAnsi="Times New Roman" w:cs="Times New Roman"/>
          <w:sz w:val="22"/>
          <w:szCs w:val="22"/>
        </w:rPr>
        <w:t xml:space="preserve">2. Если Банковская гарантия выпущена банком, не входящим в список утвержденных банков, то данный банк должен быть вынесен Уполномоченными работниками ДКФ на согласование по процедуре, аналогичной Кредитному комитету, описанной в </w:t>
      </w:r>
      <w:proofErr w:type="spellStart"/>
      <w:r w:rsidRPr="00E20A82">
        <w:rPr>
          <w:rStyle w:val="FontStyle24"/>
          <w:rFonts w:ascii="Times New Roman" w:hAnsi="Times New Roman" w:cs="Times New Roman"/>
          <w:sz w:val="22"/>
          <w:szCs w:val="22"/>
        </w:rPr>
        <w:t>пп</w:t>
      </w:r>
      <w:proofErr w:type="spellEnd"/>
      <w:r w:rsidRPr="00E20A82">
        <w:rPr>
          <w:rStyle w:val="FontStyle24"/>
          <w:rFonts w:ascii="Times New Roman" w:hAnsi="Times New Roman" w:cs="Times New Roman"/>
          <w:sz w:val="22"/>
          <w:szCs w:val="22"/>
        </w:rPr>
        <w:t>. 6.7</w:t>
      </w:r>
      <w:r w:rsidRPr="00E20A82">
        <w:rPr>
          <w:sz w:val="22"/>
          <w:szCs w:val="22"/>
        </w:rPr>
        <w:t>-</w:t>
      </w:r>
      <w:r w:rsidRPr="00E20A82">
        <w:rPr>
          <w:rStyle w:val="FontStyle24"/>
          <w:rFonts w:ascii="Times New Roman" w:hAnsi="Times New Roman" w:cs="Times New Roman"/>
          <w:sz w:val="22"/>
          <w:szCs w:val="22"/>
        </w:rPr>
        <w:t>6.26.</w:t>
      </w:r>
    </w:p>
    <w:p w:rsidR="00E20A82" w:rsidRPr="00E20A82" w:rsidRDefault="00E20A82" w:rsidP="00E20A82">
      <w:pPr>
        <w:pStyle w:val="a7"/>
        <w:ind w:left="0" w:firstLine="709"/>
        <w:rPr>
          <w:rStyle w:val="FontStyle24"/>
          <w:rFonts w:ascii="Times New Roman" w:hAnsi="Times New Roman" w:cs="Times New Roman"/>
          <w:sz w:val="22"/>
          <w:szCs w:val="22"/>
        </w:rPr>
      </w:pPr>
      <w:r w:rsidRPr="00E20A82">
        <w:rPr>
          <w:rStyle w:val="FontStyle24"/>
          <w:rFonts w:ascii="Times New Roman" w:hAnsi="Times New Roman" w:cs="Times New Roman"/>
          <w:sz w:val="22"/>
          <w:szCs w:val="22"/>
        </w:rPr>
        <w:t xml:space="preserve">3. После получения оригинала соответствующей банковской гарантии и подтверждения банком-гарантом или авизующим банком факта выдачи банковской гарантии инициатор передаёт информацию о положительном решении предоставить лимит в Отдел производственно-коммерческого учета ДКФ в форме Приложения № 2 (кредитный лимит) или Приложения № 3 (лимит авансирования) с приложением указанных документов. </w:t>
      </w:r>
    </w:p>
    <w:p w:rsidR="00E20A82" w:rsidRPr="00E20A82" w:rsidRDefault="00E20A82" w:rsidP="00E20A82">
      <w:pPr>
        <w:pStyle w:val="Style13"/>
        <w:widowControl/>
        <w:tabs>
          <w:tab w:val="left" w:pos="142"/>
          <w:tab w:val="left" w:pos="1418"/>
        </w:tabs>
        <w:spacing w:line="240" w:lineRule="auto"/>
        <w:ind w:firstLine="709"/>
        <w:rPr>
          <w:rStyle w:val="FontStyle24"/>
          <w:rFonts w:ascii="Times New Roman" w:eastAsiaTheme="minorHAnsi" w:hAnsi="Times New Roman" w:cs="Times New Roman"/>
          <w:sz w:val="22"/>
          <w:szCs w:val="22"/>
          <w:lang w:eastAsia="en-US"/>
        </w:rPr>
      </w:pPr>
      <w:r w:rsidRPr="00E20A82">
        <w:rPr>
          <w:rStyle w:val="FontStyle24"/>
          <w:rFonts w:ascii="Times New Roman" w:hAnsi="Times New Roman" w:cs="Times New Roman"/>
          <w:sz w:val="22"/>
          <w:szCs w:val="22"/>
        </w:rPr>
        <w:t xml:space="preserve">4. Работник Отдела производственно-коммерческого учета ДКФ заводит лимит авансирования в </w:t>
      </w:r>
      <w:r w:rsidRPr="00E20A82">
        <w:rPr>
          <w:rStyle w:val="FontStyle24"/>
          <w:rFonts w:ascii="Times New Roman" w:hAnsi="Times New Roman" w:cs="Times New Roman"/>
          <w:sz w:val="22"/>
          <w:szCs w:val="22"/>
          <w:lang w:val="en-US"/>
        </w:rPr>
        <w:t>SAP</w:t>
      </w:r>
      <w:r w:rsidRPr="00E20A82">
        <w:rPr>
          <w:rStyle w:val="FontStyle24"/>
          <w:rFonts w:ascii="Times New Roman" w:hAnsi="Times New Roman" w:cs="Times New Roman"/>
          <w:sz w:val="22"/>
          <w:szCs w:val="22"/>
        </w:rPr>
        <w:t xml:space="preserve"> и осуществляет контроль суммы и срока </w:t>
      </w:r>
      <w:r w:rsidRPr="00E20A82">
        <w:rPr>
          <w:sz w:val="22"/>
          <w:szCs w:val="22"/>
        </w:rPr>
        <w:t>лимита.</w:t>
      </w:r>
    </w:p>
    <w:p w:rsidR="00E20A82" w:rsidRPr="00E20A82" w:rsidRDefault="00E20A82" w:rsidP="00E20A82">
      <w:pPr>
        <w:pStyle w:val="Style13"/>
        <w:widowControl/>
        <w:tabs>
          <w:tab w:val="left" w:pos="142"/>
          <w:tab w:val="left" w:pos="1418"/>
        </w:tabs>
        <w:spacing w:line="240" w:lineRule="auto"/>
        <w:ind w:firstLine="709"/>
        <w:rPr>
          <w:sz w:val="22"/>
          <w:szCs w:val="22"/>
        </w:rPr>
      </w:pPr>
      <w:r w:rsidRPr="00E20A82">
        <w:rPr>
          <w:rStyle w:val="FontStyle24"/>
          <w:rFonts w:ascii="Times New Roman" w:hAnsi="Times New Roman" w:cs="Times New Roman"/>
          <w:sz w:val="22"/>
          <w:szCs w:val="22"/>
        </w:rPr>
        <w:t xml:space="preserve">5. В случае задержки или невыполнения работ, неоказания услуг, </w:t>
      </w:r>
      <w:proofErr w:type="spellStart"/>
      <w:r w:rsidRPr="00E20A82">
        <w:rPr>
          <w:rStyle w:val="FontStyle24"/>
          <w:rFonts w:ascii="Times New Roman" w:hAnsi="Times New Roman" w:cs="Times New Roman"/>
          <w:sz w:val="22"/>
          <w:szCs w:val="22"/>
        </w:rPr>
        <w:t>непоставки</w:t>
      </w:r>
      <w:proofErr w:type="spellEnd"/>
      <w:r w:rsidRPr="00E20A82">
        <w:rPr>
          <w:rStyle w:val="FontStyle24"/>
          <w:rFonts w:ascii="Times New Roman" w:hAnsi="Times New Roman" w:cs="Times New Roman"/>
          <w:sz w:val="22"/>
          <w:szCs w:val="22"/>
        </w:rPr>
        <w:t xml:space="preserve"> товара инициатор, курирующий договор с Поставщиком, которому согласован лимит авансирования, обязан уведомить ДКФ и уполномоченное лицо, согласовавшее лимит авансирования, одновременно с направлением в адрес </w:t>
      </w:r>
      <w:r w:rsidRPr="00E20A82">
        <w:rPr>
          <w:rStyle w:val="FontStyle24"/>
          <w:rFonts w:ascii="Times New Roman" w:hAnsi="Times New Roman" w:cs="Times New Roman"/>
          <w:sz w:val="22"/>
          <w:szCs w:val="22"/>
        </w:rPr>
        <w:lastRenderedPageBreak/>
        <w:t>Контрагента письма-уведомления о необходимости возврата аванса (далее — письмо-уведомление). Срок направления письма-уведомления установлен Положением по управлению дебиторской и кредиторской задолженностью и составляет 5 (пять) рабочих дней с момента возникновения задолженности. Решение о раскрытии банковской гарантии принимает инициатор, курирующий договор с Поставщиком или его руководитель. Дата принятия такого решения не должна превышать 15 (пятнадцать) рабочих дней до окончания срока действия банковской гарантии. Инициатор направляет в адрес ДКФ официальное письмо с указанием суммы требования и обоснованием для выставления требования по банковской гарантии в соответствии с условиями банковской гарантии. ДКФ составляет и согласовывает с ДЮ редакцию требования по гарантии, организовывает подписание и отправку в банк-гарант требования о погашении задолженности в соответствии с условиями банковской гарантии.</w:t>
      </w:r>
      <w:r w:rsidRPr="00E20A82">
        <w:rPr>
          <w:sz w:val="22"/>
          <w:szCs w:val="22"/>
        </w:rPr>
        <w:t xml:space="preserve"> </w:t>
      </w:r>
    </w:p>
    <w:p w:rsidR="009E0136" w:rsidRPr="00E20A82" w:rsidRDefault="009E0136" w:rsidP="009E0136">
      <w:pPr>
        <w:jc w:val="right"/>
        <w:rPr>
          <w:sz w:val="22"/>
          <w:szCs w:val="22"/>
        </w:rPr>
      </w:pPr>
      <w:r w:rsidRPr="00E20A82">
        <w:rPr>
          <w:sz w:val="22"/>
          <w:szCs w:val="22"/>
        </w:rPr>
        <w:t>Приложение</w:t>
      </w:r>
    </w:p>
    <w:p w:rsidR="000562E6" w:rsidRPr="00E20A82" w:rsidRDefault="000562E6" w:rsidP="000562E6">
      <w:pPr>
        <w:rPr>
          <w:sz w:val="22"/>
          <w:szCs w:val="22"/>
        </w:rPr>
      </w:pPr>
    </w:p>
    <w:p w:rsidR="00E20A82" w:rsidRPr="00E20A82" w:rsidRDefault="00E20A82" w:rsidP="00E20A82">
      <w:pPr>
        <w:jc w:val="center"/>
        <w:rPr>
          <w:b/>
          <w:sz w:val="22"/>
          <w:szCs w:val="22"/>
        </w:rPr>
      </w:pPr>
      <w:r w:rsidRPr="00E20A82">
        <w:rPr>
          <w:b/>
          <w:sz w:val="22"/>
          <w:szCs w:val="22"/>
        </w:rPr>
        <w:t>Форма банковской гарантии</w:t>
      </w:r>
    </w:p>
    <w:p w:rsidR="00E20A82" w:rsidRPr="00E20A82" w:rsidRDefault="00E20A82" w:rsidP="00E20A82">
      <w:pPr>
        <w:spacing w:after="120"/>
        <w:ind w:firstLine="709"/>
        <w:rPr>
          <w:sz w:val="22"/>
          <w:szCs w:val="22"/>
        </w:rPr>
      </w:pPr>
      <w:r w:rsidRPr="00E20A82">
        <w:rPr>
          <w:sz w:val="22"/>
          <w:szCs w:val="22"/>
        </w:rPr>
        <w:t>Для Бенефициара, Бенефициар – ________________________________, адрес: _____________ ИНН __________________, ОГРН ____________________.</w:t>
      </w:r>
    </w:p>
    <w:p w:rsidR="00E20A82" w:rsidRPr="00E20A82" w:rsidRDefault="00E20A82" w:rsidP="00E20A82">
      <w:pPr>
        <w:ind w:firstLine="709"/>
        <w:rPr>
          <w:sz w:val="22"/>
          <w:szCs w:val="22"/>
        </w:rPr>
      </w:pPr>
      <w:r w:rsidRPr="00E20A82">
        <w:rPr>
          <w:sz w:val="22"/>
          <w:szCs w:val="22"/>
        </w:rPr>
        <w:t>Мы, ____________________ (адрес: _______________), в дальнейшем именуемое ГАРАНТ, имеющее корреспондентский счет № ______________________, открыт в: _________________, БИК ________, ИНН _______________, были уведомлены, что _________________________, адрес: ________________, ИНН ____________, ОГРН _________________ в дальнейшем именуемое(</w:t>
      </w:r>
      <w:proofErr w:type="spellStart"/>
      <w:r w:rsidRPr="00E20A82">
        <w:rPr>
          <w:sz w:val="22"/>
          <w:szCs w:val="22"/>
        </w:rPr>
        <w:t>ый</w:t>
      </w:r>
      <w:proofErr w:type="spellEnd"/>
      <w:r w:rsidRPr="00E20A82">
        <w:rPr>
          <w:sz w:val="22"/>
          <w:szCs w:val="22"/>
        </w:rPr>
        <w:t>) ПРИНЦИПАЛ, принял обязательства по договору ___________ от ______ №________, именуемый в дальнейшем Договор, с Бенефициаром (Бенефициар – ________________), именуемый в дальнейшем БЕНЕФИЦИАР.</w:t>
      </w:r>
    </w:p>
    <w:p w:rsidR="00E20A82" w:rsidRPr="00E20A82" w:rsidRDefault="00E20A82" w:rsidP="00E20A82">
      <w:pPr>
        <w:ind w:firstLine="709"/>
        <w:rPr>
          <w:sz w:val="22"/>
          <w:szCs w:val="22"/>
        </w:rPr>
      </w:pPr>
      <w:r w:rsidRPr="00E20A82">
        <w:rPr>
          <w:sz w:val="22"/>
          <w:szCs w:val="22"/>
        </w:rPr>
        <w:t>По просьбе ПРИНЦИПАЛА ГАРАНТ принимает на себя обязательство уплатить по первому письменному требованию БЕНЕФИЦИАРА любую сумму, указанную в требовании БЕНЕФИЦИАРА, но не превышающую в совокупности ______________ (______________________) руб., в случае неисполнения или ненадлежащего исполнения ПРИНЦИПАЛОМ обязательств по Договору и невозврата авансового платежа, оплаченного Бенефициаром Принципалу по Договору.</w:t>
      </w:r>
    </w:p>
    <w:p w:rsidR="00E20A82" w:rsidRPr="00E20A82" w:rsidRDefault="00E20A82" w:rsidP="00E20A82">
      <w:pPr>
        <w:ind w:firstLine="709"/>
        <w:rPr>
          <w:sz w:val="22"/>
          <w:szCs w:val="22"/>
        </w:rPr>
      </w:pPr>
      <w:r w:rsidRPr="00E20A82">
        <w:rPr>
          <w:sz w:val="22"/>
          <w:szCs w:val="22"/>
        </w:rPr>
        <w:t>Обязательства ГАРАНТА перед БЕНЕФИЦИАРОМ по настоящей гарантии ограничены суммой, на которую она выдана.</w:t>
      </w:r>
    </w:p>
    <w:p w:rsidR="00E20A82" w:rsidRPr="00E20A82" w:rsidRDefault="00E20A82" w:rsidP="00E20A82">
      <w:pPr>
        <w:ind w:firstLine="709"/>
        <w:rPr>
          <w:sz w:val="22"/>
          <w:szCs w:val="22"/>
        </w:rPr>
      </w:pPr>
      <w:r w:rsidRPr="00E20A82">
        <w:rPr>
          <w:sz w:val="22"/>
          <w:szCs w:val="22"/>
        </w:rPr>
        <w:t>Ответственность ГАРАНТА перед БЕНЕФИЦИАРОМ за невыполнение или ненадлежащее выполнение своих обязательств по настоящей гарантии не ограничивается суммой, на которую она выдана. За неисполнение или ненадлежащее исполнение обязательств по Гарантии Гарант обязуется уплатить Бенефициару неустойку в размере 0,1% (Ноль целых одна десятая) процента от денежной суммы, подлежащей уплате Бенефициару, за каждый календарный день просрочки.</w:t>
      </w:r>
    </w:p>
    <w:p w:rsidR="00E20A82" w:rsidRPr="00E20A82" w:rsidRDefault="00E20A82" w:rsidP="00E20A82">
      <w:pPr>
        <w:ind w:firstLine="709"/>
        <w:rPr>
          <w:sz w:val="22"/>
          <w:szCs w:val="22"/>
        </w:rPr>
      </w:pPr>
      <w:r w:rsidRPr="00E20A82">
        <w:rPr>
          <w:sz w:val="22"/>
          <w:szCs w:val="22"/>
        </w:rPr>
        <w:t>Обязательства ГАРАНТА по настоящей гарантии будут уменьшены на общую сумму платежей, выплаченную ГАРАНТОМ БЕНЕФИЦИАРУ по настоящей гарантии.</w:t>
      </w:r>
    </w:p>
    <w:p w:rsidR="00E20A82" w:rsidRPr="00E20A82" w:rsidRDefault="00E20A82" w:rsidP="00E20A82">
      <w:pPr>
        <w:ind w:firstLine="709"/>
        <w:rPr>
          <w:sz w:val="22"/>
          <w:szCs w:val="22"/>
        </w:rPr>
      </w:pPr>
      <w:r w:rsidRPr="00E20A82">
        <w:rPr>
          <w:sz w:val="22"/>
          <w:szCs w:val="22"/>
        </w:rPr>
        <w:t>Настоящая гарантия действует с даты выдачи гарантии по _________________ включительно и прекращается, а ГАРАНТ освобождается от всех своих обязательств в данной связи, если требования БЕНЕФИЦИАРА не были получены ГАРАНТОМ до этой даты или на эту дату.</w:t>
      </w:r>
    </w:p>
    <w:p w:rsidR="00E20A82" w:rsidRPr="00E20A82" w:rsidRDefault="00E20A82" w:rsidP="00E20A82">
      <w:pPr>
        <w:ind w:firstLine="709"/>
        <w:rPr>
          <w:sz w:val="22"/>
          <w:szCs w:val="22"/>
        </w:rPr>
      </w:pPr>
      <w:r w:rsidRPr="00E20A82">
        <w:rPr>
          <w:sz w:val="22"/>
          <w:szCs w:val="22"/>
        </w:rPr>
        <w:t>Обязательства по настоящей гарантии могут быть прекращены, в том числе посредством возврата оригинала настоящей гарантии БЕНЕФИЦИАРОМ ГАРАНТУ. В этом случае БЕНЕФИЦИАР считается отказавшимся от своих прав по настоящей гарантии, гарантия прекращает свое действие, а ГАРАНТ освобождается от всех своих обязательств по гарантии перед БЕНЕФИЦИАРОМ с календарного дня, следующего за датой получения ГАРАНТОМ оригинала настоящей гарантии, если требования БЕНЕФИЦИАРА не были получены ГАРАНТОМ до этой даты или на эту дату.</w:t>
      </w:r>
    </w:p>
    <w:p w:rsidR="00E20A82" w:rsidRPr="00E20A82" w:rsidRDefault="00E20A82" w:rsidP="00E20A82">
      <w:pPr>
        <w:ind w:firstLine="709"/>
        <w:rPr>
          <w:sz w:val="22"/>
          <w:szCs w:val="22"/>
        </w:rPr>
      </w:pPr>
      <w:r w:rsidRPr="00E20A82">
        <w:rPr>
          <w:sz w:val="22"/>
          <w:szCs w:val="22"/>
        </w:rPr>
        <w:t>Требование платежа по Гарантии должно быть получено ГАРАНТОМ: (а) в письменной форме на бумажном носителе нарочно или курьерской службой доставки, или заказным письмом с уведомлением о вручении по адресу: _______________________; либо (б) в форме аутентифицированного (</w:t>
      </w:r>
      <w:proofErr w:type="spellStart"/>
      <w:r w:rsidRPr="00E20A82">
        <w:rPr>
          <w:sz w:val="22"/>
          <w:szCs w:val="22"/>
        </w:rPr>
        <w:t>ключеванного</w:t>
      </w:r>
      <w:proofErr w:type="spellEnd"/>
      <w:r w:rsidRPr="00E20A82">
        <w:rPr>
          <w:sz w:val="22"/>
          <w:szCs w:val="22"/>
        </w:rPr>
        <w:t xml:space="preserve">) сообщения, содержащего полный текст требования БЕНЕФИЦИАРА, с использованием телекоммуникационной системы СПФС в адрес Гаранта                </w:t>
      </w:r>
      <w:proofErr w:type="gramStart"/>
      <w:r w:rsidRPr="00E20A82">
        <w:rPr>
          <w:sz w:val="22"/>
          <w:szCs w:val="22"/>
        </w:rPr>
        <w:t xml:space="preserve">   (</w:t>
      </w:r>
      <w:proofErr w:type="gramEnd"/>
      <w:r w:rsidRPr="00E20A82">
        <w:rPr>
          <w:sz w:val="22"/>
          <w:szCs w:val="22"/>
        </w:rPr>
        <w:t>СПФС-код: _______________) через обслуживающий банк БЕНЕФИЦИАРА.</w:t>
      </w:r>
    </w:p>
    <w:p w:rsidR="00E20A82" w:rsidRPr="00E20A82" w:rsidRDefault="00E20A82" w:rsidP="00E20A82">
      <w:pPr>
        <w:ind w:firstLine="709"/>
        <w:rPr>
          <w:sz w:val="22"/>
          <w:szCs w:val="22"/>
        </w:rPr>
      </w:pPr>
      <w:r w:rsidRPr="00E20A82">
        <w:rPr>
          <w:sz w:val="22"/>
          <w:szCs w:val="22"/>
        </w:rPr>
        <w:t xml:space="preserve">В случае направления требования БЕНЕФИЦИАРА посредством СПФС, банк БЕНЕФИЦИАРА в своем аутентифицированном электронном СПФС-сообщении должен подтвердить Гаранту факт </w:t>
      </w:r>
      <w:r w:rsidRPr="00E20A82">
        <w:rPr>
          <w:sz w:val="22"/>
          <w:szCs w:val="22"/>
        </w:rPr>
        <w:lastRenderedPageBreak/>
        <w:t>перечисления аванса ПРИНЦИПАЛУ и то, что подписанты уполномочены на подписание Требования от имени БЕНЕФИЦИАРА. В этом случае предоставление документов на бумажном носителе, подтверждающих полномочия и подпись лица, подписавшего требование и копию платежного поручения, подтверждающего перечисление авансового платежа Принципалу, не требуется.</w:t>
      </w:r>
    </w:p>
    <w:p w:rsidR="00E20A82" w:rsidRPr="00E20A82" w:rsidRDefault="00E20A82" w:rsidP="00E20A82">
      <w:pPr>
        <w:ind w:firstLine="709"/>
        <w:rPr>
          <w:sz w:val="22"/>
          <w:szCs w:val="22"/>
        </w:rPr>
      </w:pPr>
      <w:r w:rsidRPr="00E20A82">
        <w:rPr>
          <w:sz w:val="22"/>
          <w:szCs w:val="22"/>
        </w:rPr>
        <w:t>В требовании БЕНЕФИЦИАРА должно быть указано, какие обязательства ПРИНЦИПАЛА по Договору, обеспеченные настоящей гарантией, не исполнены им, а также платежные реквизиты БЕНЕФИЦИАРА, необходимые для осуществления ГАРАНТОМ безналичного платежа по настоящей гарантии.</w:t>
      </w:r>
    </w:p>
    <w:p w:rsidR="00E20A82" w:rsidRPr="00E20A82" w:rsidRDefault="00E20A82" w:rsidP="00E20A82">
      <w:pPr>
        <w:ind w:firstLine="709"/>
        <w:rPr>
          <w:sz w:val="22"/>
          <w:szCs w:val="22"/>
        </w:rPr>
      </w:pPr>
      <w:r w:rsidRPr="00E20A82">
        <w:rPr>
          <w:sz w:val="22"/>
          <w:szCs w:val="22"/>
        </w:rPr>
        <w:t>К требованию БЕНЕФИЦИАРА на бумажном носителе по настоящей гарантии должны быть приложены следующие документы:</w:t>
      </w:r>
    </w:p>
    <w:p w:rsidR="00E20A82" w:rsidRPr="00E20A82" w:rsidRDefault="00E20A82" w:rsidP="00E20A82">
      <w:pPr>
        <w:numPr>
          <w:ilvl w:val="0"/>
          <w:numId w:val="3"/>
        </w:numPr>
        <w:tabs>
          <w:tab w:val="left" w:pos="1134"/>
        </w:tabs>
        <w:autoSpaceDN w:val="0"/>
        <w:spacing w:before="0"/>
        <w:ind w:left="0" w:firstLine="709"/>
        <w:rPr>
          <w:sz w:val="22"/>
          <w:szCs w:val="22"/>
        </w:rPr>
      </w:pPr>
      <w:r w:rsidRPr="00E20A82">
        <w:rPr>
          <w:sz w:val="22"/>
          <w:szCs w:val="22"/>
        </w:rPr>
        <w:t xml:space="preserve">документы, подтверждающие полномочия и подпись лица, подписавшего требование, а именно: </w:t>
      </w:r>
    </w:p>
    <w:p w:rsidR="00E20A82" w:rsidRPr="00E20A82" w:rsidRDefault="00E20A82" w:rsidP="00E20A82">
      <w:pPr>
        <w:ind w:firstLine="709"/>
        <w:rPr>
          <w:sz w:val="22"/>
          <w:szCs w:val="22"/>
        </w:rPr>
      </w:pPr>
      <w:r w:rsidRPr="00E20A82">
        <w:rPr>
          <w:sz w:val="22"/>
          <w:szCs w:val="22"/>
        </w:rPr>
        <w:t xml:space="preserve">– копия приказа Бенефициара о назначении, или копия решения об избрании действующего единоличного органа Бенефициара, или выписка из указанного решения, верность которой засвидетельствована единоличным исполнительным органом и печатью Бенефициара, если требование подписано единоличным исполнительным органом, или </w:t>
      </w:r>
    </w:p>
    <w:p w:rsidR="00E20A82" w:rsidRPr="00E20A82" w:rsidRDefault="00E20A82" w:rsidP="00E20A82">
      <w:pPr>
        <w:ind w:firstLine="709"/>
        <w:rPr>
          <w:sz w:val="22"/>
          <w:szCs w:val="22"/>
        </w:rPr>
      </w:pPr>
      <w:r w:rsidRPr="00E20A82">
        <w:rPr>
          <w:sz w:val="22"/>
          <w:szCs w:val="22"/>
        </w:rPr>
        <w:t xml:space="preserve">– оригинал или нотариально удостоверенная копия доверенности, если требование подписано лицом, действующим от имени Бенефициара по доверенности. </w:t>
      </w:r>
    </w:p>
    <w:p w:rsidR="00E20A82" w:rsidRPr="00E20A82" w:rsidRDefault="00E20A82" w:rsidP="00E20A82">
      <w:pPr>
        <w:ind w:firstLine="709"/>
        <w:rPr>
          <w:sz w:val="22"/>
          <w:szCs w:val="22"/>
        </w:rPr>
      </w:pPr>
      <w:r w:rsidRPr="00E20A82">
        <w:rPr>
          <w:sz w:val="22"/>
          <w:szCs w:val="22"/>
        </w:rPr>
        <w:t>Правомочность подписей на требовании Бенефициара к Гаранту на бумажном носителе может быть также подтверждена банком Бенефициара посредством направления в адрес Гаранта (СПФС-</w:t>
      </w:r>
      <w:proofErr w:type="gramStart"/>
      <w:r w:rsidRPr="00E20A82">
        <w:rPr>
          <w:sz w:val="22"/>
          <w:szCs w:val="22"/>
        </w:rPr>
        <w:t>код:_</w:t>
      </w:r>
      <w:proofErr w:type="gramEnd"/>
      <w:r w:rsidRPr="00E20A82">
        <w:rPr>
          <w:sz w:val="22"/>
          <w:szCs w:val="22"/>
        </w:rPr>
        <w:t xml:space="preserve">___________) </w:t>
      </w:r>
      <w:proofErr w:type="spellStart"/>
      <w:r w:rsidRPr="00E20A82">
        <w:rPr>
          <w:sz w:val="22"/>
          <w:szCs w:val="22"/>
        </w:rPr>
        <w:t>ключеванного</w:t>
      </w:r>
      <w:proofErr w:type="spellEnd"/>
      <w:r w:rsidRPr="00E20A82">
        <w:rPr>
          <w:sz w:val="22"/>
          <w:szCs w:val="22"/>
        </w:rPr>
        <w:t xml:space="preserve"> сообщения по системе СПФС, содержащего информацию о том, что подписи на требовании являются подлинными и подписанты уполномочены на подписание требования по гарантии от имени Бенефициара. </w:t>
      </w:r>
    </w:p>
    <w:p w:rsidR="00E20A82" w:rsidRPr="00E20A82" w:rsidRDefault="00E20A82" w:rsidP="00E20A82">
      <w:pPr>
        <w:ind w:firstLine="709"/>
        <w:rPr>
          <w:sz w:val="22"/>
          <w:szCs w:val="22"/>
        </w:rPr>
      </w:pPr>
      <w:r w:rsidRPr="00E20A82">
        <w:rPr>
          <w:sz w:val="22"/>
          <w:szCs w:val="22"/>
        </w:rPr>
        <w:t xml:space="preserve">Если на дату предъявления требования Бенефициар будет иметь открытый расчётный счет у Гаранта, предоставление нотариально заверенной копии или копии, заверенной Бенефициаром, документа уполномоченного органа управления Бенефициара, на основании которого руководитель Бенефициара осуществляет свои полномочия, а также нотариально заверенной копии доверенности, или подтверждение полномочий руководителя Бенефициара посредством отправки </w:t>
      </w:r>
      <w:proofErr w:type="spellStart"/>
      <w:r w:rsidRPr="00E20A82">
        <w:rPr>
          <w:sz w:val="22"/>
          <w:szCs w:val="22"/>
        </w:rPr>
        <w:t>ключеванного</w:t>
      </w:r>
      <w:proofErr w:type="spellEnd"/>
      <w:r w:rsidRPr="00E20A82">
        <w:rPr>
          <w:sz w:val="22"/>
          <w:szCs w:val="22"/>
        </w:rPr>
        <w:t xml:space="preserve"> сообщения по системе СПФС не требуется. А также возможно предъявление требования Бенефициара и прилагаемых документов по гарантии по электронным каналам связи с использованием системы «Банк-Клиент». При этом лицо, подписавшее электронное сообщение, содержащее требование Бенефициара, должно обладать полномочиями на предъявление требования платежа по гарантии от имени Бенефициара.  </w:t>
      </w:r>
    </w:p>
    <w:p w:rsidR="00E20A82" w:rsidRPr="00E20A82" w:rsidRDefault="00E20A82" w:rsidP="00E20A82">
      <w:pPr>
        <w:ind w:firstLine="709"/>
        <w:rPr>
          <w:sz w:val="22"/>
          <w:szCs w:val="22"/>
        </w:rPr>
      </w:pPr>
      <w:r w:rsidRPr="00E20A82">
        <w:rPr>
          <w:sz w:val="22"/>
          <w:szCs w:val="22"/>
        </w:rPr>
        <w:t>Рассмотрение и исполнение требования платежа по настоящей гарантии будет осуществлено в течение 5 (Пяти) дней с даты получения письменного требования БЕНЕФИЦИАРА (не включая эту дату).</w:t>
      </w:r>
    </w:p>
    <w:p w:rsidR="00E20A82" w:rsidRPr="00E20A82" w:rsidRDefault="00E20A82" w:rsidP="00E20A82">
      <w:pPr>
        <w:ind w:firstLine="709"/>
        <w:rPr>
          <w:sz w:val="22"/>
          <w:szCs w:val="22"/>
        </w:rPr>
      </w:pPr>
      <w:r w:rsidRPr="00E20A82">
        <w:rPr>
          <w:sz w:val="22"/>
          <w:szCs w:val="22"/>
        </w:rPr>
        <w:t>ГАРАНТ имеет право отказать БЕНЕФИЦИАРУ в удовлетворении его требования, если требование либо приложенные к нему документы не соответствуют условиям гарантии, либо представлены ГАРАНТУ по окончании определенного в гарантии срока.</w:t>
      </w:r>
    </w:p>
    <w:p w:rsidR="00E20A82" w:rsidRPr="00E20A82" w:rsidRDefault="00E20A82" w:rsidP="00E20A82">
      <w:pPr>
        <w:ind w:firstLine="709"/>
        <w:rPr>
          <w:sz w:val="22"/>
          <w:szCs w:val="22"/>
        </w:rPr>
      </w:pPr>
      <w:r w:rsidRPr="00E20A82">
        <w:rPr>
          <w:sz w:val="22"/>
          <w:szCs w:val="22"/>
        </w:rPr>
        <w:t xml:space="preserve">ГАРАНТ вправе внести изменения в условия настоящей гарантии только с письменного согласия БЕНЕФИЦИАРА, полученного ГАРАНТОМ.  </w:t>
      </w:r>
    </w:p>
    <w:p w:rsidR="00E20A82" w:rsidRPr="00E20A82" w:rsidRDefault="00E20A82" w:rsidP="00E20A82">
      <w:pPr>
        <w:ind w:firstLine="709"/>
        <w:rPr>
          <w:sz w:val="22"/>
          <w:szCs w:val="22"/>
        </w:rPr>
      </w:pPr>
      <w:r w:rsidRPr="00E20A82">
        <w:rPr>
          <w:sz w:val="22"/>
          <w:szCs w:val="22"/>
        </w:rPr>
        <w:t xml:space="preserve">В Гарантию могут быть внесены изменения ГАРАНТОМ с предварительного письменного согласия БЕНЕФИЦИАРА. Внесение изменений в условия настоящей гарантии осуществляется в форме, в которой выдана гарантия. Согласие БЕНЕФИЦИАРА на изменение настоящей гарантии не требуется в случае увеличения суммы настоящей Гарантии и/или увеличения срока ее действия. Отказ БЕНЕФИЦИАРА от своих прав по гарантии, письменное согласие БЕНЕФИЦИАРА об изменении условий гарантии должны быть представлены гаранту способом и порядке, аналогичным способу и порядку представления Требования, указанным в настоящей гарантии. </w:t>
      </w:r>
    </w:p>
    <w:p w:rsidR="00E20A82" w:rsidRPr="00E20A82" w:rsidRDefault="00E20A82" w:rsidP="00E20A82">
      <w:pPr>
        <w:ind w:firstLine="709"/>
        <w:rPr>
          <w:sz w:val="22"/>
          <w:szCs w:val="22"/>
        </w:rPr>
      </w:pPr>
      <w:r w:rsidRPr="00E20A82">
        <w:rPr>
          <w:sz w:val="22"/>
          <w:szCs w:val="22"/>
        </w:rPr>
        <w:t>Настоящая гарантия не может быть отозвана ГАРАНТОМ.</w:t>
      </w:r>
    </w:p>
    <w:p w:rsidR="00E20A82" w:rsidRPr="00E20A82" w:rsidRDefault="00E20A82" w:rsidP="00E20A82">
      <w:pPr>
        <w:ind w:firstLine="709"/>
        <w:rPr>
          <w:sz w:val="22"/>
          <w:szCs w:val="22"/>
        </w:rPr>
      </w:pPr>
      <w:r w:rsidRPr="00E20A82">
        <w:rPr>
          <w:sz w:val="22"/>
          <w:szCs w:val="22"/>
        </w:rPr>
        <w:t>Передача права требования по настоящей гарантии третьему лицу допускается лишь при условии одновременной уступки БЕНЕФИЦИАРОМ указанному лицу (цессионарию) прав по основному обязательству, обеспечиваемому настоящей гарантией, при условии предварительного письменного согласия ГАРАНТА.</w:t>
      </w:r>
    </w:p>
    <w:p w:rsidR="00E20A82" w:rsidRPr="00E20A82" w:rsidRDefault="00E20A82" w:rsidP="00E20A82">
      <w:pPr>
        <w:ind w:firstLine="709"/>
        <w:rPr>
          <w:sz w:val="22"/>
          <w:szCs w:val="22"/>
        </w:rPr>
      </w:pPr>
      <w:r w:rsidRPr="00E20A82">
        <w:rPr>
          <w:sz w:val="22"/>
          <w:szCs w:val="22"/>
        </w:rPr>
        <w:t>ГАРАНТ направляет в бюро кредитных историй информацию о ПРИНЦИПАЛЕ, предусмотренную статьей 4 Федерального закона «О кредитных историях» от 30.12.2004 № 218-ФЗ.</w:t>
      </w:r>
    </w:p>
    <w:p w:rsidR="00E20A82" w:rsidRPr="00E20A82" w:rsidRDefault="00E20A82" w:rsidP="00E20A82">
      <w:pPr>
        <w:ind w:firstLine="709"/>
        <w:rPr>
          <w:sz w:val="22"/>
          <w:szCs w:val="22"/>
        </w:rPr>
      </w:pPr>
      <w:r w:rsidRPr="00E20A82">
        <w:rPr>
          <w:sz w:val="22"/>
          <w:szCs w:val="22"/>
        </w:rPr>
        <w:lastRenderedPageBreak/>
        <w:t>Настоящая гарантия регулируется законодательством Российской Федерации. Все споры между ГАРАНТОМ и БЕНЕФИЦИАРОМ, вытекающие из настоящей гарантии или связанные с ней, подлежат рассмотрению в Арбитражном суде г. Москвы.</w:t>
      </w:r>
    </w:p>
    <w:p w:rsidR="000562E6" w:rsidRPr="00E20A82" w:rsidRDefault="000562E6" w:rsidP="00E20A82">
      <w:pPr>
        <w:spacing w:after="120"/>
        <w:ind w:firstLine="425"/>
        <w:rPr>
          <w:sz w:val="22"/>
          <w:szCs w:val="22"/>
        </w:rPr>
      </w:pPr>
    </w:p>
    <w:sectPr w:rsidR="000562E6" w:rsidRPr="00E20A82" w:rsidSect="00262A5E">
      <w:footerReference w:type="default" r:id="rId8"/>
      <w:pgSz w:w="11906" w:h="16838"/>
      <w:pgMar w:top="426" w:right="707"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3AE" w:rsidRDefault="007413AE">
      <w:pPr>
        <w:spacing w:before="0"/>
      </w:pPr>
      <w:r>
        <w:separator/>
      </w:r>
    </w:p>
  </w:endnote>
  <w:endnote w:type="continuationSeparator" w:id="0">
    <w:p w:rsidR="007413AE" w:rsidRDefault="007413A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0E" w:rsidRPr="0089015E" w:rsidRDefault="001F795A">
    <w:pPr>
      <w:pStyle w:val="a3"/>
      <w:jc w:val="right"/>
    </w:pPr>
  </w:p>
  <w:p w:rsidR="00F2070E" w:rsidRDefault="001F795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3AE" w:rsidRDefault="007413AE">
      <w:pPr>
        <w:spacing w:before="0"/>
      </w:pPr>
      <w:r>
        <w:separator/>
      </w:r>
    </w:p>
  </w:footnote>
  <w:footnote w:type="continuationSeparator" w:id="0">
    <w:p w:rsidR="007413AE" w:rsidRDefault="007413A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75D10"/>
    <w:multiLevelType w:val="multilevel"/>
    <w:tmpl w:val="D1C63F08"/>
    <w:lvl w:ilvl="0">
      <w:start w:val="1"/>
      <w:numFmt w:val="bullet"/>
      <w:lvlText w:val="·"/>
      <w:lvlJc w:val="left"/>
      <w:pPr>
        <w:ind w:left="738" w:hanging="369"/>
      </w:pPr>
      <w:rPr>
        <w:rFonts w:ascii="Symbol" w:eastAsia="Symbol" w:hAnsi="Symbol" w:cs="Symbol"/>
        <w:b w:val="0"/>
        <w:i w:val="0"/>
        <w:strike w:val="0"/>
        <w:dstrike w:val="0"/>
        <w:sz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0B73713"/>
    <w:multiLevelType w:val="multilevel"/>
    <w:tmpl w:val="1A3253DE"/>
    <w:lvl w:ilvl="0">
      <w:start w:val="1"/>
      <w:numFmt w:val="bullet"/>
      <w:lvlText w:val="·"/>
      <w:lvlJc w:val="left"/>
      <w:pPr>
        <w:ind w:left="738" w:hanging="369"/>
      </w:pPr>
      <w:rPr>
        <w:rFonts w:ascii="Symbol" w:eastAsia="Symbol" w:hAnsi="Symbol" w:cs="Symbol"/>
        <w:b w:val="0"/>
        <w:i w:val="0"/>
        <w:strike w:val="0"/>
        <w:dstrike w:val="0"/>
        <w:sz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A20150C"/>
    <w:multiLevelType w:val="hybridMultilevel"/>
    <w:tmpl w:val="5E5E9B7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FA3"/>
    <w:rsid w:val="000562E6"/>
    <w:rsid w:val="000E62B0"/>
    <w:rsid w:val="00177B89"/>
    <w:rsid w:val="001F795A"/>
    <w:rsid w:val="00262A5E"/>
    <w:rsid w:val="00294CB9"/>
    <w:rsid w:val="002F38E9"/>
    <w:rsid w:val="002F6F19"/>
    <w:rsid w:val="00316A78"/>
    <w:rsid w:val="003377A0"/>
    <w:rsid w:val="00390AFA"/>
    <w:rsid w:val="003C74C4"/>
    <w:rsid w:val="003E311E"/>
    <w:rsid w:val="004E17A0"/>
    <w:rsid w:val="005D25F7"/>
    <w:rsid w:val="00616632"/>
    <w:rsid w:val="00650227"/>
    <w:rsid w:val="006F1C77"/>
    <w:rsid w:val="007413AE"/>
    <w:rsid w:val="00746FA3"/>
    <w:rsid w:val="007B5A4D"/>
    <w:rsid w:val="007C4FE3"/>
    <w:rsid w:val="008D727F"/>
    <w:rsid w:val="00933599"/>
    <w:rsid w:val="00941189"/>
    <w:rsid w:val="00967A67"/>
    <w:rsid w:val="00997CDD"/>
    <w:rsid w:val="009E0136"/>
    <w:rsid w:val="009E4526"/>
    <w:rsid w:val="00A03714"/>
    <w:rsid w:val="00AC71B0"/>
    <w:rsid w:val="00B5237D"/>
    <w:rsid w:val="00BD3378"/>
    <w:rsid w:val="00BE3DD2"/>
    <w:rsid w:val="00BE6A9B"/>
    <w:rsid w:val="00C13635"/>
    <w:rsid w:val="00C625B2"/>
    <w:rsid w:val="00CF1F51"/>
    <w:rsid w:val="00D22B88"/>
    <w:rsid w:val="00D35D3D"/>
    <w:rsid w:val="00D5202B"/>
    <w:rsid w:val="00D779BB"/>
    <w:rsid w:val="00D9300D"/>
    <w:rsid w:val="00DA2C42"/>
    <w:rsid w:val="00DF459F"/>
    <w:rsid w:val="00E20A82"/>
    <w:rsid w:val="00E55809"/>
    <w:rsid w:val="00E93BD5"/>
    <w:rsid w:val="00F50D89"/>
    <w:rsid w:val="00F6053D"/>
    <w:rsid w:val="00F76215"/>
    <w:rsid w:val="00F76C2D"/>
    <w:rsid w:val="00FC2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B2955-BCDF-4429-8CAF-242BA657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C2D"/>
    <w:pPr>
      <w:spacing w:before="120" w:after="0" w:line="240" w:lineRule="auto"/>
      <w:ind w:firstLine="851"/>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76C2D"/>
    <w:pPr>
      <w:tabs>
        <w:tab w:val="center" w:pos="4677"/>
        <w:tab w:val="right" w:pos="9355"/>
      </w:tabs>
    </w:pPr>
    <w:rPr>
      <w:sz w:val="24"/>
      <w:lang w:val="x-none" w:eastAsia="x-none"/>
    </w:rPr>
  </w:style>
  <w:style w:type="character" w:customStyle="1" w:styleId="a4">
    <w:name w:val="Нижний колонтитул Знак"/>
    <w:basedOn w:val="a0"/>
    <w:link w:val="a3"/>
    <w:uiPriority w:val="99"/>
    <w:rsid w:val="00F76C2D"/>
    <w:rPr>
      <w:rFonts w:ascii="Times New Roman" w:eastAsia="Times New Roman" w:hAnsi="Times New Roman" w:cs="Times New Roman"/>
      <w:sz w:val="24"/>
      <w:szCs w:val="24"/>
      <w:lang w:val="x-none" w:eastAsia="x-none"/>
    </w:rPr>
  </w:style>
  <w:style w:type="paragraph" w:styleId="a5">
    <w:name w:val="header"/>
    <w:basedOn w:val="a"/>
    <w:link w:val="a6"/>
    <w:uiPriority w:val="99"/>
    <w:unhideWhenUsed/>
    <w:rsid w:val="005D25F7"/>
    <w:pPr>
      <w:tabs>
        <w:tab w:val="center" w:pos="4677"/>
        <w:tab w:val="right" w:pos="9355"/>
      </w:tabs>
      <w:spacing w:before="0"/>
    </w:pPr>
  </w:style>
  <w:style w:type="character" w:customStyle="1" w:styleId="a6">
    <w:name w:val="Верхний колонтитул Знак"/>
    <w:basedOn w:val="a0"/>
    <w:link w:val="a5"/>
    <w:uiPriority w:val="99"/>
    <w:rsid w:val="005D25F7"/>
    <w:rPr>
      <w:rFonts w:ascii="Times New Roman" w:eastAsia="Times New Roman" w:hAnsi="Times New Roman" w:cs="Times New Roman"/>
      <w:sz w:val="28"/>
      <w:szCs w:val="24"/>
      <w:lang w:eastAsia="ru-RU"/>
    </w:rPr>
  </w:style>
  <w:style w:type="paragraph" w:styleId="a7">
    <w:name w:val="List Paragraph"/>
    <w:basedOn w:val="a"/>
    <w:link w:val="a8"/>
    <w:uiPriority w:val="34"/>
    <w:qFormat/>
    <w:rsid w:val="004E17A0"/>
    <w:pPr>
      <w:ind w:left="720"/>
      <w:contextualSpacing/>
    </w:pPr>
  </w:style>
  <w:style w:type="paragraph" w:customStyle="1" w:styleId="Style13">
    <w:name w:val="Style13"/>
    <w:basedOn w:val="a"/>
    <w:uiPriority w:val="99"/>
    <w:rsid w:val="00E20A82"/>
    <w:pPr>
      <w:widowControl w:val="0"/>
      <w:autoSpaceDE w:val="0"/>
      <w:autoSpaceDN w:val="0"/>
      <w:adjustRightInd w:val="0"/>
      <w:spacing w:before="0" w:line="279" w:lineRule="exact"/>
      <w:ind w:firstLine="720"/>
    </w:pPr>
    <w:rPr>
      <w:sz w:val="24"/>
    </w:rPr>
  </w:style>
  <w:style w:type="character" w:customStyle="1" w:styleId="FontStyle24">
    <w:name w:val="Font Style24"/>
    <w:basedOn w:val="a0"/>
    <w:uiPriority w:val="99"/>
    <w:rsid w:val="00E20A82"/>
    <w:rPr>
      <w:rFonts w:ascii="Arial" w:hAnsi="Arial" w:cs="Arial"/>
    </w:rPr>
  </w:style>
  <w:style w:type="character" w:customStyle="1" w:styleId="a8">
    <w:name w:val="Абзац списка Знак"/>
    <w:link w:val="a7"/>
    <w:uiPriority w:val="34"/>
    <w:rsid w:val="00E20A82"/>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06967-5F83-4CCB-85ED-480A1090A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1697</Words>
  <Characters>9673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ОАО "НЛМК"</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Сулимов Руслан Евгениевич</dc:creator>
  <cp:keywords/>
  <dc:description/>
  <cp:lastModifiedBy>Грешникова Алина Александровна</cp:lastModifiedBy>
  <cp:revision>32</cp:revision>
  <dcterms:created xsi:type="dcterms:W3CDTF">2020-07-15T06:52:00Z</dcterms:created>
  <dcterms:modified xsi:type="dcterms:W3CDTF">2024-10-24T13:13:00Z</dcterms:modified>
</cp:coreProperties>
</file>