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6"/>
        <w:gridCol w:w="4626"/>
      </w:tblGrid>
      <w:tr w:rsidR="00D75994" w:rsidRPr="00EC11A6" w:rsidTr="00D75994">
        <w:trPr>
          <w:trHeight w:hRule="exact" w:val="284"/>
        </w:trPr>
        <w:tc>
          <w:tcPr>
            <w:tcW w:w="2500" w:type="pct"/>
            <w:tcMar>
              <w:left w:w="0" w:type="dxa"/>
              <w:right w:w="0" w:type="dxa"/>
            </w:tcMar>
          </w:tcPr>
          <w:p w:rsidR="00D75994" w:rsidRPr="00EC11A6" w:rsidRDefault="00D75994" w:rsidP="007C00D4">
            <w:pPr>
              <w:pStyle w:val="af3"/>
              <w:rPr>
                <w:rFonts w:ascii="Times New Roman" w:hAnsi="Times New Roman"/>
                <w:b w:val="0"/>
              </w:rPr>
            </w:pPr>
            <w:r w:rsidRPr="00EC11A6">
              <w:rPr>
                <w:rFonts w:ascii="Times New Roman" w:hAnsi="Times New Roman"/>
                <w:b w:val="0"/>
              </w:rPr>
              <w:t xml:space="preserve">ООО «Капитал </w:t>
            </w:r>
            <w:proofErr w:type="spellStart"/>
            <w:r w:rsidRPr="00EC11A6">
              <w:rPr>
                <w:rFonts w:ascii="Times New Roman" w:hAnsi="Times New Roman"/>
                <w:b w:val="0"/>
              </w:rPr>
              <w:t>Лайф</w:t>
            </w:r>
            <w:proofErr w:type="spellEnd"/>
            <w:r w:rsidRPr="00EC11A6">
              <w:rPr>
                <w:rFonts w:ascii="Times New Roman" w:hAnsi="Times New Roman"/>
                <w:b w:val="0"/>
              </w:rPr>
              <w:t xml:space="preserve"> Страхование Жизни»</w:t>
            </w:r>
          </w:p>
        </w:tc>
        <w:tc>
          <w:tcPr>
            <w:tcW w:w="2500" w:type="pct"/>
          </w:tcPr>
          <w:p w:rsidR="00D75994" w:rsidRPr="00EC11A6" w:rsidRDefault="00411F64" w:rsidP="00411F64">
            <w:pPr>
              <w:pStyle w:val="af3"/>
              <w:jc w:val="right"/>
              <w:rPr>
                <w:rFonts w:ascii="Times New Roman" w:hAnsi="Times New Roman"/>
                <w:sz w:val="22"/>
              </w:rPr>
            </w:pPr>
            <w:r w:rsidRPr="00EC11A6">
              <w:rPr>
                <w:rFonts w:ascii="Times New Roman" w:hAnsi="Times New Roman"/>
                <w:sz w:val="22"/>
              </w:rPr>
              <w:t>Участникам тендерного отбора</w:t>
            </w:r>
          </w:p>
        </w:tc>
      </w:tr>
      <w:tr w:rsidR="00D470FF" w:rsidRPr="00EC11A6" w:rsidTr="00D75994">
        <w:trPr>
          <w:trHeight w:hRule="exact" w:val="284"/>
        </w:trPr>
        <w:tc>
          <w:tcPr>
            <w:tcW w:w="2500" w:type="pct"/>
            <w:tcMar>
              <w:left w:w="0" w:type="dxa"/>
              <w:right w:w="0" w:type="dxa"/>
            </w:tcMar>
          </w:tcPr>
          <w:p w:rsidR="00D470FF" w:rsidRPr="00EC11A6" w:rsidRDefault="00D470FF" w:rsidP="007C00D4">
            <w:pPr>
              <w:pStyle w:val="af3"/>
              <w:rPr>
                <w:rFonts w:ascii="Times New Roman" w:hAnsi="Times New Roman"/>
                <w:b w:val="0"/>
              </w:rPr>
            </w:pPr>
            <w:r w:rsidRPr="00EC11A6">
              <w:rPr>
                <w:rFonts w:ascii="Times New Roman" w:hAnsi="Times New Roman"/>
                <w:b w:val="0"/>
              </w:rPr>
              <w:t xml:space="preserve">115035, г. Москва, </w:t>
            </w:r>
            <w:proofErr w:type="spellStart"/>
            <w:r w:rsidRPr="00EC11A6">
              <w:rPr>
                <w:rFonts w:ascii="Times New Roman" w:hAnsi="Times New Roman"/>
                <w:b w:val="0"/>
              </w:rPr>
              <w:t>Кадашёвская</w:t>
            </w:r>
            <w:proofErr w:type="spellEnd"/>
            <w:r w:rsidRPr="00EC11A6">
              <w:rPr>
                <w:rFonts w:ascii="Times New Roman" w:hAnsi="Times New Roman"/>
                <w:b w:val="0"/>
              </w:rPr>
              <w:t xml:space="preserve"> набережная, д.30</w:t>
            </w:r>
          </w:p>
          <w:p w:rsidR="00D470FF" w:rsidRPr="00EC11A6" w:rsidRDefault="00D470FF" w:rsidP="007C00D4">
            <w:pPr>
              <w:pStyle w:val="af3"/>
              <w:rPr>
                <w:rFonts w:ascii="Times New Roman" w:hAnsi="Times New Roman"/>
                <w:b w:val="0"/>
              </w:rPr>
            </w:pPr>
            <w:r w:rsidRPr="00EC11A6">
              <w:rPr>
                <w:rFonts w:ascii="Times New Roman" w:hAnsi="Times New Roman"/>
                <w:b w:val="0"/>
              </w:rPr>
              <w:t>Телефон: +7 (495) 980-79-80</w:t>
            </w:r>
          </w:p>
          <w:p w:rsidR="00D470FF" w:rsidRPr="00EC11A6" w:rsidRDefault="00D470FF" w:rsidP="007C00D4">
            <w:pPr>
              <w:pStyle w:val="af3"/>
              <w:rPr>
                <w:rFonts w:ascii="Times New Roman" w:hAnsi="Times New Roman"/>
                <w:b w:val="0"/>
              </w:rPr>
            </w:pPr>
            <w:r w:rsidRPr="00EC11A6">
              <w:rPr>
                <w:rFonts w:ascii="Times New Roman" w:hAnsi="Times New Roman"/>
                <w:b w:val="0"/>
              </w:rPr>
              <w:t>Факс: +7 (495) 225-94-38</w:t>
            </w:r>
          </w:p>
          <w:p w:rsidR="00D470FF" w:rsidRPr="00EC11A6" w:rsidRDefault="00D470FF" w:rsidP="007C00D4">
            <w:pPr>
              <w:pStyle w:val="af3"/>
              <w:rPr>
                <w:rFonts w:ascii="Times New Roman" w:hAnsi="Times New Roman"/>
                <w:b w:val="0"/>
              </w:rPr>
            </w:pPr>
            <w:r w:rsidRPr="00EC11A6">
              <w:rPr>
                <w:rFonts w:ascii="Times New Roman" w:hAnsi="Times New Roman"/>
                <w:b w:val="0"/>
                <w:lang w:val="en-US"/>
              </w:rPr>
              <w:t>E</w:t>
            </w:r>
            <w:r w:rsidRPr="00EC11A6">
              <w:rPr>
                <w:rFonts w:ascii="Times New Roman" w:hAnsi="Times New Roman"/>
                <w:b w:val="0"/>
              </w:rPr>
              <w:t>-</w:t>
            </w:r>
            <w:r w:rsidRPr="00EC11A6">
              <w:rPr>
                <w:rFonts w:ascii="Times New Roman" w:hAnsi="Times New Roman"/>
                <w:b w:val="0"/>
                <w:lang w:val="en-US"/>
              </w:rPr>
              <w:t>mail</w:t>
            </w:r>
            <w:r w:rsidRPr="00EC11A6">
              <w:rPr>
                <w:rFonts w:ascii="Times New Roman" w:hAnsi="Times New Roman"/>
                <w:b w:val="0"/>
              </w:rPr>
              <w:t xml:space="preserve">: </w:t>
            </w:r>
            <w:proofErr w:type="spellStart"/>
            <w:r w:rsidRPr="00EC11A6">
              <w:rPr>
                <w:rFonts w:ascii="Times New Roman" w:hAnsi="Times New Roman"/>
                <w:b w:val="0"/>
                <w:lang w:val="en-US"/>
              </w:rPr>
              <w:t>infolife</w:t>
            </w:r>
            <w:proofErr w:type="spellEnd"/>
            <w:r w:rsidRPr="00EC11A6">
              <w:rPr>
                <w:rFonts w:ascii="Times New Roman" w:hAnsi="Times New Roman"/>
                <w:b w:val="0"/>
              </w:rPr>
              <w:t>@</w:t>
            </w:r>
            <w:proofErr w:type="spellStart"/>
            <w:r w:rsidRPr="00EC11A6">
              <w:rPr>
                <w:rFonts w:ascii="Times New Roman" w:hAnsi="Times New Roman"/>
                <w:b w:val="0"/>
                <w:lang w:val="en-US"/>
              </w:rPr>
              <w:t>rgslife</w:t>
            </w:r>
            <w:proofErr w:type="spellEnd"/>
            <w:r w:rsidRPr="00EC11A6">
              <w:rPr>
                <w:rFonts w:ascii="Times New Roman" w:hAnsi="Times New Roman"/>
                <w:b w:val="0"/>
              </w:rPr>
              <w:t>.</w:t>
            </w:r>
            <w:proofErr w:type="spellStart"/>
            <w:r w:rsidRPr="00EC11A6">
              <w:rPr>
                <w:rFonts w:ascii="Times New Roman" w:hAnsi="Times New Roman"/>
                <w:b w:val="0"/>
                <w:lang w:val="en-US"/>
              </w:rPr>
              <w:t>ru</w:t>
            </w:r>
            <w:proofErr w:type="spellEnd"/>
            <w:r w:rsidRPr="00EC11A6">
              <w:rPr>
                <w:rFonts w:ascii="Times New Roman" w:hAnsi="Times New Roman"/>
                <w:b w:val="0"/>
              </w:rPr>
              <w:tab/>
            </w:r>
            <w:r w:rsidRPr="00EC11A6">
              <w:rPr>
                <w:rFonts w:ascii="Times New Roman" w:hAnsi="Times New Roman"/>
                <w:b w:val="0"/>
              </w:rPr>
              <w:tab/>
            </w:r>
          </w:p>
        </w:tc>
        <w:tc>
          <w:tcPr>
            <w:tcW w:w="2500" w:type="pct"/>
          </w:tcPr>
          <w:p w:rsidR="00D470FF" w:rsidRPr="00EC11A6" w:rsidRDefault="00D470FF" w:rsidP="002D4046">
            <w:pPr>
              <w:jc w:val="right"/>
              <w:rPr>
                <w:rFonts w:ascii="Times New Roman" w:hAnsi="Times New Roman"/>
                <w:sz w:val="22"/>
              </w:rPr>
            </w:pPr>
          </w:p>
        </w:tc>
      </w:tr>
      <w:tr w:rsidR="00D470FF" w:rsidRPr="00EC11A6" w:rsidTr="00D75994">
        <w:trPr>
          <w:trHeight w:hRule="exact" w:val="284"/>
        </w:trPr>
        <w:tc>
          <w:tcPr>
            <w:tcW w:w="2500" w:type="pct"/>
            <w:tcMar>
              <w:left w:w="0" w:type="dxa"/>
              <w:right w:w="0" w:type="dxa"/>
            </w:tcMar>
          </w:tcPr>
          <w:p w:rsidR="00D470FF" w:rsidRPr="00EC11A6" w:rsidRDefault="00D470FF" w:rsidP="0096636E">
            <w:pPr>
              <w:pStyle w:val="af3"/>
              <w:rPr>
                <w:rFonts w:ascii="Times New Roman" w:hAnsi="Times New Roman"/>
                <w:b w:val="0"/>
              </w:rPr>
            </w:pPr>
            <w:r w:rsidRPr="00EC11A6">
              <w:rPr>
                <w:rFonts w:ascii="Times New Roman" w:hAnsi="Times New Roman"/>
                <w:b w:val="0"/>
              </w:rPr>
              <w:t xml:space="preserve">Телефон: +7 (495) 980-79-80 </w:t>
            </w:r>
          </w:p>
        </w:tc>
        <w:tc>
          <w:tcPr>
            <w:tcW w:w="2500" w:type="pct"/>
          </w:tcPr>
          <w:p w:rsidR="00D470FF" w:rsidRPr="00EC11A6" w:rsidRDefault="00D470FF" w:rsidP="002D4046">
            <w:pPr>
              <w:jc w:val="right"/>
              <w:rPr>
                <w:rFonts w:ascii="Times New Roman" w:hAnsi="Times New Roman"/>
                <w:sz w:val="22"/>
              </w:rPr>
            </w:pPr>
          </w:p>
        </w:tc>
      </w:tr>
      <w:tr w:rsidR="00D470FF" w:rsidRPr="00EC11A6" w:rsidTr="00D75994">
        <w:trPr>
          <w:trHeight w:hRule="exact" w:val="284"/>
        </w:trPr>
        <w:tc>
          <w:tcPr>
            <w:tcW w:w="2500" w:type="pct"/>
            <w:tcMar>
              <w:left w:w="0" w:type="dxa"/>
              <w:right w:w="0" w:type="dxa"/>
            </w:tcMar>
          </w:tcPr>
          <w:p w:rsidR="00D470FF" w:rsidRPr="00EC11A6" w:rsidRDefault="004B4B2A" w:rsidP="007C00D4">
            <w:pPr>
              <w:pStyle w:val="af3"/>
              <w:rPr>
                <w:rFonts w:ascii="Times New Roman" w:hAnsi="Times New Roman"/>
                <w:b w:val="0"/>
                <w:lang w:val="en-US"/>
              </w:rPr>
            </w:pPr>
            <w:r>
              <w:rPr>
                <w:rFonts w:ascii="Times New Roman" w:hAnsi="Times New Roman"/>
                <w:b w:val="0"/>
                <w:lang w:val="en-US"/>
              </w:rPr>
              <w:t>tender</w:t>
            </w:r>
            <w:r w:rsidR="00D470FF" w:rsidRPr="00EC11A6">
              <w:rPr>
                <w:rFonts w:ascii="Times New Roman" w:hAnsi="Times New Roman"/>
                <w:b w:val="0"/>
                <w:lang w:val="en-US"/>
              </w:rPr>
              <w:t>@kaplife.ru</w:t>
            </w:r>
          </w:p>
          <w:p w:rsidR="00D470FF" w:rsidRPr="00EC11A6" w:rsidRDefault="00D470FF" w:rsidP="007C00D4">
            <w:pPr>
              <w:rPr>
                <w:rFonts w:ascii="Times New Roman" w:hAnsi="Times New Roman"/>
                <w:lang w:val="en-US"/>
              </w:rPr>
            </w:pPr>
          </w:p>
        </w:tc>
        <w:tc>
          <w:tcPr>
            <w:tcW w:w="2500" w:type="pct"/>
          </w:tcPr>
          <w:p w:rsidR="00D470FF" w:rsidRPr="00EC11A6" w:rsidRDefault="00D470FF" w:rsidP="00D470FF">
            <w:pPr>
              <w:jc w:val="right"/>
              <w:rPr>
                <w:rFonts w:ascii="Times New Roman" w:hAnsi="Times New Roman"/>
                <w:sz w:val="22"/>
                <w:lang w:val="en-US"/>
              </w:rPr>
            </w:pPr>
          </w:p>
        </w:tc>
      </w:tr>
      <w:tr w:rsidR="00D470FF" w:rsidRPr="00EC11A6" w:rsidTr="00D75994">
        <w:trPr>
          <w:trHeight w:hRule="exact" w:val="284"/>
        </w:trPr>
        <w:tc>
          <w:tcPr>
            <w:tcW w:w="2500" w:type="pct"/>
            <w:tcMar>
              <w:left w:w="0" w:type="dxa"/>
              <w:right w:w="0" w:type="dxa"/>
            </w:tcMar>
          </w:tcPr>
          <w:p w:rsidR="00D470FF" w:rsidRPr="00EC11A6" w:rsidRDefault="00D470FF" w:rsidP="007C00D4">
            <w:pPr>
              <w:pStyle w:val="af3"/>
              <w:rPr>
                <w:rFonts w:ascii="Times New Roman" w:hAnsi="Times New Roman"/>
                <w:b w:val="0"/>
                <w:lang w:val="en-US"/>
              </w:rPr>
            </w:pPr>
            <w:r w:rsidRPr="00EC11A6">
              <w:rPr>
                <w:rFonts w:ascii="Times New Roman" w:hAnsi="Times New Roman"/>
                <w:b w:val="0"/>
                <w:lang w:val="en-US"/>
              </w:rPr>
              <w:t>KAPLIFE.RU</w:t>
            </w:r>
          </w:p>
        </w:tc>
        <w:tc>
          <w:tcPr>
            <w:tcW w:w="2500" w:type="pct"/>
          </w:tcPr>
          <w:p w:rsidR="00D470FF" w:rsidRPr="00EC11A6" w:rsidRDefault="00D470FF" w:rsidP="007C00D4">
            <w:pPr>
              <w:pStyle w:val="af3"/>
              <w:rPr>
                <w:rFonts w:ascii="Times New Roman" w:hAnsi="Times New Roman"/>
                <w:b w:val="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9"/>
        <w:gridCol w:w="4676"/>
      </w:tblGrid>
      <w:tr w:rsidR="001333D8" w:rsidRPr="00EC11A6" w:rsidTr="00417502">
        <w:trPr>
          <w:trHeight w:hRule="exact" w:val="284"/>
        </w:trPr>
        <w:tc>
          <w:tcPr>
            <w:tcW w:w="2501" w:type="pct"/>
            <w:tcMar>
              <w:left w:w="0" w:type="dxa"/>
              <w:right w:w="0" w:type="dxa"/>
            </w:tcMar>
          </w:tcPr>
          <w:p w:rsidR="001333D8" w:rsidRPr="00EC11A6" w:rsidRDefault="001333D8" w:rsidP="001333D8">
            <w:pPr>
              <w:pStyle w:val="af3"/>
              <w:rPr>
                <w:rFonts w:ascii="Times New Roman" w:hAnsi="Times New Roman"/>
              </w:rPr>
            </w:pPr>
          </w:p>
        </w:tc>
        <w:tc>
          <w:tcPr>
            <w:tcW w:w="2499" w:type="pct"/>
            <w:tcMar>
              <w:left w:w="0" w:type="dxa"/>
              <w:right w:w="0" w:type="dxa"/>
            </w:tcMar>
          </w:tcPr>
          <w:p w:rsidR="001333D8" w:rsidRPr="00EC11A6" w:rsidRDefault="001333D8" w:rsidP="009008BD">
            <w:pPr>
              <w:jc w:val="right"/>
              <w:rPr>
                <w:rFonts w:ascii="Times New Roman" w:hAnsi="Times New Roman"/>
              </w:rPr>
            </w:pPr>
          </w:p>
        </w:tc>
      </w:tr>
      <w:tr w:rsidR="001333D8" w:rsidRPr="00EC11A6" w:rsidTr="00417502">
        <w:trPr>
          <w:trHeight w:hRule="exact" w:val="284"/>
        </w:trPr>
        <w:tc>
          <w:tcPr>
            <w:tcW w:w="2501" w:type="pct"/>
            <w:tcMar>
              <w:left w:w="0" w:type="dxa"/>
              <w:right w:w="0" w:type="dxa"/>
            </w:tcMar>
          </w:tcPr>
          <w:p w:rsidR="00D470FF" w:rsidRPr="00A97E17" w:rsidRDefault="00D470FF" w:rsidP="00D470FF">
            <w:pPr>
              <w:rPr>
                <w:rFonts w:ascii="Times New Roman" w:hAnsi="Times New Roman"/>
              </w:rPr>
            </w:pPr>
            <w:r w:rsidRPr="00A97E17">
              <w:rPr>
                <w:rFonts w:ascii="Times New Roman" w:hAnsi="Times New Roman"/>
              </w:rPr>
              <w:t xml:space="preserve">от </w:t>
            </w:r>
            <w:proofErr w:type="gramStart"/>
            <w:r w:rsidR="00164770">
              <w:rPr>
                <w:rFonts w:ascii="Times New Roman" w:hAnsi="Times New Roman"/>
              </w:rPr>
              <w:t>09</w:t>
            </w:r>
            <w:r w:rsidR="00A97E17">
              <w:rPr>
                <w:rFonts w:ascii="Times New Roman" w:hAnsi="Times New Roman"/>
              </w:rPr>
              <w:t>.</w:t>
            </w:r>
            <w:r w:rsidR="00164770">
              <w:rPr>
                <w:rFonts w:ascii="Times New Roman" w:hAnsi="Times New Roman"/>
              </w:rPr>
              <w:t>07.2024</w:t>
            </w:r>
            <w:r w:rsidR="00C92E67" w:rsidRPr="00A97E17">
              <w:rPr>
                <w:rFonts w:ascii="Times New Roman" w:hAnsi="Times New Roman"/>
              </w:rPr>
              <w:t xml:space="preserve"> </w:t>
            </w:r>
            <w:r w:rsidRPr="00A97E17">
              <w:rPr>
                <w:rFonts w:ascii="Times New Roman" w:hAnsi="Times New Roman"/>
              </w:rPr>
              <w:t xml:space="preserve"> №</w:t>
            </w:r>
            <w:proofErr w:type="gramEnd"/>
            <w:r w:rsidRPr="00A97E17">
              <w:rPr>
                <w:rFonts w:ascii="Times New Roman" w:hAnsi="Times New Roman"/>
              </w:rPr>
              <w:t xml:space="preserve"> </w:t>
            </w:r>
            <w:r w:rsidR="00164770">
              <w:rPr>
                <w:rFonts w:ascii="Times New Roman" w:hAnsi="Times New Roman"/>
              </w:rPr>
              <w:t>145ТК/2024</w:t>
            </w:r>
          </w:p>
          <w:p w:rsidR="001333D8" w:rsidRPr="00EC11A6" w:rsidRDefault="00D470FF" w:rsidP="00D470FF">
            <w:pPr>
              <w:rPr>
                <w:rFonts w:ascii="Times New Roman" w:hAnsi="Times New Roman"/>
              </w:rPr>
            </w:pPr>
            <w:r w:rsidRPr="00EC11A6">
              <w:rPr>
                <w:rFonts w:ascii="Times New Roman" w:hAnsi="Times New Roman"/>
              </w:rPr>
              <w:t>на №</w:t>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r w:rsidRPr="00EC11A6">
              <w:rPr>
                <w:rFonts w:ascii="Times New Roman" w:hAnsi="Times New Roman"/>
              </w:rPr>
              <w:tab/>
            </w:r>
          </w:p>
        </w:tc>
        <w:tc>
          <w:tcPr>
            <w:tcW w:w="2499" w:type="pct"/>
            <w:tcMar>
              <w:left w:w="0" w:type="dxa"/>
              <w:right w:w="0" w:type="dxa"/>
            </w:tcMar>
          </w:tcPr>
          <w:p w:rsidR="001333D8" w:rsidRPr="00EC11A6" w:rsidRDefault="001333D8" w:rsidP="00D470FF">
            <w:pPr>
              <w:jc w:val="right"/>
              <w:rPr>
                <w:rFonts w:ascii="Times New Roman" w:hAnsi="Times New Roman"/>
              </w:rPr>
            </w:pPr>
          </w:p>
        </w:tc>
      </w:tr>
      <w:tr w:rsidR="009008BD" w:rsidTr="00417502">
        <w:trPr>
          <w:trHeight w:hRule="exact" w:val="284"/>
        </w:trPr>
        <w:tc>
          <w:tcPr>
            <w:tcW w:w="2501" w:type="pct"/>
            <w:tcMar>
              <w:left w:w="0" w:type="dxa"/>
              <w:right w:w="0" w:type="dxa"/>
            </w:tcMar>
          </w:tcPr>
          <w:p w:rsidR="009008BD" w:rsidRPr="00E74460" w:rsidRDefault="00D470FF" w:rsidP="00D470FF">
            <w:r w:rsidRPr="00D470FF">
              <w:tab/>
            </w:r>
            <w:r w:rsidRPr="00D470FF">
              <w:tab/>
            </w:r>
            <w:r w:rsidRPr="00D470FF">
              <w:tab/>
            </w:r>
            <w:r w:rsidRPr="00D470FF">
              <w:tab/>
            </w:r>
            <w:r w:rsidRPr="00D470FF">
              <w:tab/>
            </w:r>
            <w:r w:rsidRPr="00D470FF">
              <w:tab/>
            </w:r>
            <w:r w:rsidRPr="00D470FF">
              <w:tab/>
            </w:r>
          </w:p>
        </w:tc>
        <w:tc>
          <w:tcPr>
            <w:tcW w:w="2499" w:type="pct"/>
            <w:tcMar>
              <w:left w:w="0" w:type="dxa"/>
              <w:right w:w="0" w:type="dxa"/>
            </w:tcMar>
          </w:tcPr>
          <w:p w:rsidR="009008BD" w:rsidRDefault="009008BD" w:rsidP="001333D8">
            <w:pPr>
              <w:jc w:val="right"/>
            </w:pPr>
          </w:p>
        </w:tc>
      </w:tr>
    </w:tbl>
    <w:p w:rsidR="00F7254D" w:rsidRDefault="00F7254D" w:rsidP="00E81813">
      <w:pPr>
        <w:spacing w:line="360" w:lineRule="auto"/>
        <w:rPr>
          <w:rFonts w:cs="Calibri"/>
          <w:b/>
          <w:sz w:val="22"/>
        </w:rPr>
      </w:pPr>
    </w:p>
    <w:p w:rsidR="00F7254D" w:rsidRPr="00EE1304" w:rsidRDefault="00E74460" w:rsidP="00E74460">
      <w:pPr>
        <w:tabs>
          <w:tab w:val="left" w:pos="2025"/>
          <w:tab w:val="center" w:pos="4677"/>
        </w:tabs>
        <w:spacing w:before="120" w:after="120"/>
        <w:rPr>
          <w:rFonts w:ascii="Times New Roman" w:hAnsi="Times New Roman"/>
          <w:b/>
          <w:color w:val="FF0000"/>
          <w:sz w:val="24"/>
          <w:szCs w:val="24"/>
        </w:rPr>
      </w:pPr>
      <w:r w:rsidRPr="00E74460">
        <w:rPr>
          <w:rFonts w:ascii="Times New Roman" w:hAnsi="Times New Roman"/>
          <w:b/>
          <w:sz w:val="24"/>
          <w:szCs w:val="24"/>
        </w:rPr>
        <w:tab/>
      </w:r>
      <w:r w:rsidRPr="00E74460">
        <w:rPr>
          <w:rFonts w:ascii="Times New Roman" w:hAnsi="Times New Roman"/>
          <w:b/>
          <w:sz w:val="24"/>
          <w:szCs w:val="24"/>
        </w:rPr>
        <w:tab/>
      </w:r>
      <w:r w:rsidR="00BF3744" w:rsidRPr="00E74460">
        <w:rPr>
          <w:rFonts w:ascii="Times New Roman" w:hAnsi="Times New Roman"/>
          <w:b/>
          <w:sz w:val="24"/>
          <w:szCs w:val="24"/>
        </w:rPr>
        <w:t xml:space="preserve">ИЗВЕЩЕНИЕ О ПРОВЕДЕНИИ ТЕНДЕРА </w:t>
      </w:r>
      <w:r w:rsidR="00BF3744" w:rsidRPr="00A97E17">
        <w:rPr>
          <w:rFonts w:ascii="Times New Roman" w:hAnsi="Times New Roman"/>
          <w:b/>
          <w:sz w:val="24"/>
          <w:szCs w:val="24"/>
        </w:rPr>
        <w:t xml:space="preserve">(№ </w:t>
      </w:r>
      <w:r w:rsidR="00164770">
        <w:rPr>
          <w:rFonts w:ascii="Times New Roman" w:hAnsi="Times New Roman"/>
          <w:b/>
          <w:sz w:val="24"/>
          <w:szCs w:val="24"/>
        </w:rPr>
        <w:t>145</w:t>
      </w:r>
      <w:r w:rsidR="004B4B2A" w:rsidRPr="00A97E17">
        <w:rPr>
          <w:rFonts w:ascii="Times New Roman" w:hAnsi="Times New Roman"/>
          <w:b/>
          <w:sz w:val="24"/>
          <w:szCs w:val="24"/>
        </w:rPr>
        <w:t>ТК/202</w:t>
      </w:r>
      <w:r w:rsidR="00164770">
        <w:rPr>
          <w:rFonts w:ascii="Times New Roman" w:hAnsi="Times New Roman"/>
          <w:b/>
          <w:sz w:val="24"/>
          <w:szCs w:val="24"/>
        </w:rPr>
        <w:t>4</w:t>
      </w:r>
      <w:r w:rsidR="00BF3744" w:rsidRPr="00A97E17">
        <w:rPr>
          <w:rFonts w:ascii="Times New Roman" w:hAnsi="Times New Roman"/>
          <w:b/>
          <w:sz w:val="24"/>
          <w:szCs w:val="24"/>
        </w:rPr>
        <w:t>)</w:t>
      </w:r>
    </w:p>
    <w:p w:rsidR="00F202A9" w:rsidRPr="00E74460" w:rsidRDefault="00BF3744" w:rsidP="000F6F2E">
      <w:pPr>
        <w:pStyle w:val="aff8"/>
        <w:spacing w:before="120" w:beforeAutospacing="0" w:after="120" w:afterAutospacing="0"/>
        <w:ind w:firstLine="708"/>
        <w:jc w:val="both"/>
      </w:pPr>
      <w:r w:rsidRPr="00E74460">
        <w:t xml:space="preserve">ООО "Капитал </w:t>
      </w:r>
      <w:proofErr w:type="spellStart"/>
      <w:r w:rsidRPr="00E74460">
        <w:t>Лайф</w:t>
      </w:r>
      <w:proofErr w:type="spellEnd"/>
      <w:r w:rsidRPr="00E74460">
        <w:t xml:space="preserve"> Страхование Жизни" сообщает о начале проведения тендера</w:t>
      </w:r>
      <w:r w:rsidR="00E27A56" w:rsidRPr="00E74460">
        <w:t xml:space="preserve"> </w:t>
      </w:r>
      <w:r w:rsidR="00844E0D" w:rsidRPr="00E74460">
        <w:t xml:space="preserve">на </w:t>
      </w:r>
      <w:r w:rsidR="00CA6BDB" w:rsidRPr="00E74460">
        <w:t>организацию проведения мероприятия «</w:t>
      </w:r>
      <w:r w:rsidR="004B4B2A">
        <w:t>Клуб Лучших 202</w:t>
      </w:r>
      <w:r w:rsidR="00164770">
        <w:t>5</w:t>
      </w:r>
      <w:r w:rsidR="00CA6BDB" w:rsidRPr="00E74460">
        <w:t>»</w:t>
      </w:r>
    </w:p>
    <w:p w:rsidR="00F7254D" w:rsidRPr="00E74460" w:rsidRDefault="00BF3744" w:rsidP="000F6F2E">
      <w:pPr>
        <w:spacing w:before="120" w:after="120"/>
        <w:ind w:firstLine="708"/>
        <w:jc w:val="both"/>
        <w:rPr>
          <w:rFonts w:ascii="Times New Roman" w:hAnsi="Times New Roman"/>
          <w:sz w:val="24"/>
          <w:szCs w:val="24"/>
        </w:rPr>
      </w:pPr>
      <w:r w:rsidRPr="00E74460">
        <w:rPr>
          <w:rFonts w:ascii="Times New Roman" w:hAnsi="Times New Roman"/>
          <w:sz w:val="24"/>
          <w:szCs w:val="24"/>
        </w:rPr>
        <w:t>Общие условия участия в тендере</w:t>
      </w:r>
      <w:r w:rsidR="00411F64" w:rsidRPr="00E74460">
        <w:rPr>
          <w:rFonts w:ascii="Times New Roman" w:hAnsi="Times New Roman"/>
          <w:sz w:val="24"/>
          <w:szCs w:val="24"/>
        </w:rPr>
        <w:t>:</w:t>
      </w:r>
    </w:p>
    <w:p w:rsidR="00F7254D" w:rsidRPr="00E74460" w:rsidRDefault="00BF3744" w:rsidP="008123A7">
      <w:pPr>
        <w:pStyle w:val="aff8"/>
        <w:numPr>
          <w:ilvl w:val="0"/>
          <w:numId w:val="22"/>
        </w:numPr>
        <w:spacing w:before="120" w:beforeAutospacing="0" w:after="120" w:afterAutospacing="0"/>
        <w:jc w:val="both"/>
      </w:pPr>
      <w:r w:rsidRPr="00E74460">
        <w:t xml:space="preserve">Предметом конкурса является наилучшее предложение о заключении договора на </w:t>
      </w:r>
      <w:r w:rsidR="00CB3E0B" w:rsidRPr="00E74460">
        <w:t>услуг</w:t>
      </w:r>
      <w:r w:rsidR="00684368" w:rsidRPr="00E74460">
        <w:t>и</w:t>
      </w:r>
      <w:r w:rsidR="00CB3E0B" w:rsidRPr="00E74460">
        <w:t xml:space="preserve"> в соответствии с </w:t>
      </w:r>
      <w:r w:rsidR="00CA6BDB" w:rsidRPr="00E74460">
        <w:t xml:space="preserve">настоящим Извещением, </w:t>
      </w:r>
      <w:r w:rsidR="00CB3E0B" w:rsidRPr="00E74460">
        <w:t>Приложени</w:t>
      </w:r>
      <w:r w:rsidR="00E1498B" w:rsidRPr="00E74460">
        <w:t>ем</w:t>
      </w:r>
      <w:r w:rsidR="00CB3E0B" w:rsidRPr="00E74460">
        <w:t xml:space="preserve"> № 1 </w:t>
      </w:r>
      <w:r w:rsidR="00844E0D" w:rsidRPr="00E74460">
        <w:t>(Техническое задание)</w:t>
      </w:r>
      <w:r w:rsidR="00684368" w:rsidRPr="00E74460">
        <w:t xml:space="preserve">, </w:t>
      </w:r>
      <w:r w:rsidR="00CB3E0B" w:rsidRPr="00E74460">
        <w:t>к настоящему Извещению.</w:t>
      </w:r>
    </w:p>
    <w:p w:rsidR="00684368" w:rsidRPr="00E74460" w:rsidRDefault="00684368" w:rsidP="008123A7">
      <w:pPr>
        <w:pStyle w:val="aff8"/>
        <w:spacing w:before="120" w:beforeAutospacing="0" w:after="120" w:afterAutospacing="0"/>
        <w:rPr>
          <w:b/>
          <w:u w:val="single"/>
        </w:rPr>
      </w:pPr>
      <w:r w:rsidRPr="00E74460">
        <w:rPr>
          <w:b/>
          <w:u w:val="single"/>
        </w:rPr>
        <w:t xml:space="preserve">Участнику необходимо заполнить Приложение № </w:t>
      </w:r>
      <w:r w:rsidR="004B4B2A">
        <w:rPr>
          <w:b/>
          <w:u w:val="single"/>
        </w:rPr>
        <w:t>1</w:t>
      </w:r>
      <w:r w:rsidRPr="00E74460">
        <w:rPr>
          <w:b/>
          <w:u w:val="single"/>
        </w:rPr>
        <w:t xml:space="preserve"> (</w:t>
      </w:r>
      <w:r w:rsidR="004B4B2A">
        <w:rPr>
          <w:b/>
          <w:u w:val="single"/>
        </w:rPr>
        <w:t>ТЗ</w:t>
      </w:r>
      <w:r w:rsidRPr="00E74460">
        <w:rPr>
          <w:b/>
          <w:u w:val="single"/>
        </w:rPr>
        <w:t>)</w:t>
      </w:r>
      <w:r w:rsidR="00E74460" w:rsidRPr="00E74460">
        <w:rPr>
          <w:b/>
          <w:u w:val="single"/>
        </w:rPr>
        <w:t xml:space="preserve"> СТРОГО</w:t>
      </w:r>
      <w:r w:rsidRPr="00E74460">
        <w:rPr>
          <w:b/>
          <w:u w:val="single"/>
        </w:rPr>
        <w:t xml:space="preserve"> по представленной форме и направить его в формате </w:t>
      </w:r>
      <w:r w:rsidRPr="00E74460">
        <w:rPr>
          <w:b/>
          <w:u w:val="single"/>
          <w:lang w:val="en-US"/>
        </w:rPr>
        <w:t>PDF</w:t>
      </w:r>
      <w:r w:rsidRPr="00E74460">
        <w:rPr>
          <w:b/>
          <w:u w:val="single"/>
        </w:rPr>
        <w:t xml:space="preserve"> и формате </w:t>
      </w:r>
      <w:r w:rsidRPr="00E74460">
        <w:rPr>
          <w:b/>
          <w:u w:val="single"/>
          <w:lang w:val="en-US"/>
        </w:rPr>
        <w:t>Excel</w:t>
      </w:r>
      <w:r w:rsidRPr="00E74460">
        <w:rPr>
          <w:b/>
          <w:u w:val="single"/>
        </w:rPr>
        <w:t>.</w:t>
      </w:r>
    </w:p>
    <w:p w:rsidR="00BF3744" w:rsidRPr="008123A7" w:rsidRDefault="008123A7" w:rsidP="008123A7">
      <w:pPr>
        <w:pStyle w:val="af1"/>
        <w:numPr>
          <w:ilvl w:val="1"/>
          <w:numId w:val="24"/>
        </w:numPr>
        <w:overflowPunct w:val="0"/>
        <w:autoSpaceDE w:val="0"/>
        <w:autoSpaceDN w:val="0"/>
        <w:adjustRightInd w:val="0"/>
        <w:spacing w:before="120" w:after="120"/>
        <w:jc w:val="both"/>
        <w:rPr>
          <w:rFonts w:ascii="Times New Roman" w:hAnsi="Times New Roman"/>
          <w:sz w:val="24"/>
          <w:szCs w:val="24"/>
        </w:rPr>
      </w:pPr>
      <w:r w:rsidRPr="008123A7">
        <w:rPr>
          <w:rFonts w:ascii="Times New Roman" w:hAnsi="Times New Roman"/>
          <w:sz w:val="24"/>
          <w:szCs w:val="24"/>
        </w:rPr>
        <w:t xml:space="preserve"> </w:t>
      </w:r>
      <w:r w:rsidR="00BF3744" w:rsidRPr="008123A7">
        <w:rPr>
          <w:rFonts w:ascii="Times New Roman" w:hAnsi="Times New Roman"/>
          <w:sz w:val="24"/>
          <w:szCs w:val="24"/>
        </w:rPr>
        <w:t>Участники тендера должны удовлетворять следующим требованиям:</w:t>
      </w:r>
    </w:p>
    <w:p w:rsidR="00BF3744" w:rsidRPr="00E74460" w:rsidRDefault="00BF3744" w:rsidP="0096636E">
      <w:pPr>
        <w:pStyle w:val="af1"/>
        <w:numPr>
          <w:ilvl w:val="0"/>
          <w:numId w:val="27"/>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опыт работы в соответствующей области,</w:t>
      </w:r>
    </w:p>
    <w:p w:rsidR="00BF3744" w:rsidRPr="00E74460" w:rsidRDefault="00BF3744" w:rsidP="0096636E">
      <w:pPr>
        <w:pStyle w:val="af1"/>
        <w:numPr>
          <w:ilvl w:val="0"/>
          <w:numId w:val="27"/>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отсутствие невыполненных обязательств перед третьими лицами,</w:t>
      </w:r>
    </w:p>
    <w:p w:rsidR="00BF3744" w:rsidRDefault="00BF3744" w:rsidP="0096636E">
      <w:pPr>
        <w:pStyle w:val="af1"/>
        <w:numPr>
          <w:ilvl w:val="0"/>
          <w:numId w:val="27"/>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w:t>
      </w:r>
      <w:r w:rsidR="0096636E">
        <w:rPr>
          <w:rFonts w:ascii="Times New Roman" w:hAnsi="Times New Roman"/>
          <w:sz w:val="24"/>
          <w:szCs w:val="24"/>
        </w:rPr>
        <w:t>ь не должна быть приостановлена,</w:t>
      </w:r>
    </w:p>
    <w:p w:rsidR="0096636E" w:rsidRPr="00A97E17" w:rsidRDefault="0096636E" w:rsidP="0096636E">
      <w:pPr>
        <w:pStyle w:val="af1"/>
        <w:numPr>
          <w:ilvl w:val="0"/>
          <w:numId w:val="27"/>
        </w:numPr>
        <w:overflowPunct w:val="0"/>
        <w:autoSpaceDE w:val="0"/>
        <w:autoSpaceDN w:val="0"/>
        <w:adjustRightInd w:val="0"/>
        <w:spacing w:before="120" w:after="120"/>
        <w:contextualSpacing w:val="0"/>
        <w:jc w:val="both"/>
        <w:rPr>
          <w:rFonts w:ascii="Times New Roman" w:hAnsi="Times New Roman"/>
          <w:b/>
          <w:sz w:val="24"/>
          <w:szCs w:val="24"/>
        </w:rPr>
      </w:pPr>
      <w:r w:rsidRPr="00A97E17">
        <w:rPr>
          <w:rFonts w:ascii="Times New Roman" w:hAnsi="Times New Roman"/>
          <w:b/>
          <w:sz w:val="24"/>
          <w:szCs w:val="24"/>
        </w:rPr>
        <w:t>обязательное прове</w:t>
      </w:r>
      <w:r w:rsidR="00164770">
        <w:rPr>
          <w:rFonts w:ascii="Times New Roman" w:hAnsi="Times New Roman"/>
          <w:b/>
          <w:sz w:val="24"/>
          <w:szCs w:val="24"/>
        </w:rPr>
        <w:t>дение мероприятия в 2023 и 2024</w:t>
      </w:r>
      <w:r w:rsidRPr="00A97E17">
        <w:rPr>
          <w:rFonts w:ascii="Times New Roman" w:hAnsi="Times New Roman"/>
          <w:b/>
          <w:sz w:val="24"/>
          <w:szCs w:val="24"/>
        </w:rPr>
        <w:t xml:space="preserve"> г</w:t>
      </w:r>
      <w:r w:rsidR="00A97E17" w:rsidRPr="00A97E17">
        <w:rPr>
          <w:rFonts w:ascii="Times New Roman" w:hAnsi="Times New Roman"/>
          <w:b/>
          <w:sz w:val="24"/>
          <w:szCs w:val="24"/>
        </w:rPr>
        <w:t>. г.</w:t>
      </w:r>
      <w:r w:rsidRPr="00A97E17">
        <w:rPr>
          <w:rFonts w:ascii="Times New Roman" w:hAnsi="Times New Roman"/>
          <w:b/>
          <w:sz w:val="24"/>
          <w:szCs w:val="24"/>
        </w:rPr>
        <w:t xml:space="preserve"> (приложить подтверждение с портфолио) </w:t>
      </w:r>
    </w:p>
    <w:p w:rsidR="005D28D9" w:rsidRPr="005D28D9" w:rsidRDefault="005D28D9" w:rsidP="005D28D9">
      <w:pPr>
        <w:numPr>
          <w:ilvl w:val="0"/>
          <w:numId w:val="27"/>
        </w:numPr>
        <w:rPr>
          <w:rFonts w:ascii="Times New Roman" w:hAnsi="Times New Roman"/>
          <w:sz w:val="24"/>
          <w:szCs w:val="24"/>
        </w:rPr>
      </w:pPr>
      <w:r w:rsidRPr="005D28D9">
        <w:rPr>
          <w:rFonts w:ascii="Times New Roman" w:hAnsi="Times New Roman"/>
          <w:sz w:val="24"/>
          <w:szCs w:val="24"/>
        </w:rPr>
        <w:t>Наличие необходимых профессиональных, технических, квалифицированных и финансовых ресурсов.</w:t>
      </w:r>
    </w:p>
    <w:p w:rsidR="005D28D9" w:rsidRPr="005D28D9" w:rsidRDefault="005D28D9" w:rsidP="005D28D9">
      <w:pPr>
        <w:numPr>
          <w:ilvl w:val="0"/>
          <w:numId w:val="27"/>
        </w:numPr>
        <w:rPr>
          <w:rFonts w:ascii="Times New Roman" w:hAnsi="Times New Roman"/>
          <w:sz w:val="24"/>
          <w:szCs w:val="24"/>
        </w:rPr>
      </w:pPr>
      <w:r w:rsidRPr="005D28D9">
        <w:rPr>
          <w:rFonts w:ascii="Times New Roman" w:hAnsi="Times New Roman"/>
          <w:sz w:val="24"/>
          <w:szCs w:val="24"/>
        </w:rPr>
        <w:t>Проработанность схемы реализации проекта.</w:t>
      </w:r>
    </w:p>
    <w:p w:rsidR="005D28D9" w:rsidRPr="005D28D9" w:rsidRDefault="005D28D9" w:rsidP="005D28D9">
      <w:pPr>
        <w:numPr>
          <w:ilvl w:val="0"/>
          <w:numId w:val="27"/>
        </w:numPr>
        <w:rPr>
          <w:rFonts w:ascii="Times New Roman" w:hAnsi="Times New Roman"/>
          <w:sz w:val="24"/>
          <w:szCs w:val="24"/>
        </w:rPr>
      </w:pPr>
      <w:r w:rsidRPr="005D28D9">
        <w:rPr>
          <w:rFonts w:ascii="Times New Roman" w:hAnsi="Times New Roman"/>
          <w:sz w:val="24"/>
          <w:szCs w:val="24"/>
        </w:rPr>
        <w:t>Предлагаемые схемы контроля качества работ и услуг.</w:t>
      </w:r>
    </w:p>
    <w:p w:rsidR="005D28D9" w:rsidRPr="005D28D9" w:rsidRDefault="005D28D9" w:rsidP="005D28D9">
      <w:pPr>
        <w:numPr>
          <w:ilvl w:val="0"/>
          <w:numId w:val="27"/>
        </w:numPr>
        <w:rPr>
          <w:rFonts w:ascii="Times New Roman" w:hAnsi="Times New Roman"/>
          <w:sz w:val="24"/>
          <w:szCs w:val="24"/>
        </w:rPr>
      </w:pPr>
      <w:r w:rsidRPr="005D28D9">
        <w:rPr>
          <w:rFonts w:ascii="Times New Roman" w:hAnsi="Times New Roman"/>
          <w:sz w:val="24"/>
          <w:szCs w:val="24"/>
        </w:rPr>
        <w:t>Собственные квалицированные сотрудники, находящиеся в штате Компании.</w:t>
      </w:r>
    </w:p>
    <w:p w:rsidR="00BF3744" w:rsidRPr="00E74460" w:rsidRDefault="00BF3744" w:rsidP="0096636E">
      <w:pPr>
        <w:pStyle w:val="af1"/>
        <w:numPr>
          <w:ilvl w:val="0"/>
          <w:numId w:val="27"/>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A5D9E" w:rsidRDefault="00BF3744" w:rsidP="008123A7">
      <w:pPr>
        <w:pStyle w:val="af1"/>
        <w:numPr>
          <w:ilvl w:val="1"/>
          <w:numId w:val="24"/>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8123A7" w:rsidRPr="00A97E17" w:rsidRDefault="008123A7" w:rsidP="005B45CD">
      <w:pPr>
        <w:pStyle w:val="af1"/>
        <w:numPr>
          <w:ilvl w:val="1"/>
          <w:numId w:val="24"/>
        </w:numPr>
        <w:overflowPunct w:val="0"/>
        <w:autoSpaceDE w:val="0"/>
        <w:autoSpaceDN w:val="0"/>
        <w:adjustRightInd w:val="0"/>
        <w:spacing w:before="120" w:after="120"/>
        <w:contextualSpacing w:val="0"/>
        <w:jc w:val="both"/>
        <w:rPr>
          <w:rFonts w:ascii="Times New Roman" w:hAnsi="Times New Roman"/>
          <w:sz w:val="24"/>
          <w:szCs w:val="24"/>
        </w:rPr>
      </w:pPr>
      <w:r w:rsidRPr="00A37E0C">
        <w:rPr>
          <w:rFonts w:ascii="Times New Roman" w:hAnsi="Times New Roman"/>
          <w:sz w:val="24"/>
          <w:szCs w:val="24"/>
        </w:rPr>
        <w:t xml:space="preserve">Коммерческие предложения, содержащие ссылку на номер тендера, с комплектом документов будут приниматься от уполномоченных лиц </w:t>
      </w:r>
      <w:r w:rsidR="005B45CD" w:rsidRPr="005B45CD">
        <w:rPr>
          <w:rFonts w:ascii="Times New Roman" w:hAnsi="Times New Roman"/>
          <w:sz w:val="24"/>
          <w:szCs w:val="24"/>
        </w:rPr>
        <w:t>через ЭТП «</w:t>
      </w:r>
      <w:proofErr w:type="spellStart"/>
      <w:r w:rsidR="005B45CD" w:rsidRPr="005B45CD">
        <w:rPr>
          <w:rFonts w:ascii="Times New Roman" w:hAnsi="Times New Roman"/>
          <w:sz w:val="24"/>
          <w:szCs w:val="24"/>
        </w:rPr>
        <w:t>Росэлторг</w:t>
      </w:r>
      <w:proofErr w:type="spellEnd"/>
      <w:r w:rsidR="005B45CD" w:rsidRPr="005B45CD">
        <w:rPr>
          <w:rFonts w:ascii="Times New Roman" w:hAnsi="Times New Roman"/>
          <w:sz w:val="24"/>
          <w:szCs w:val="24"/>
        </w:rPr>
        <w:t xml:space="preserve"> Бизнес»</w:t>
      </w:r>
      <w:r w:rsidR="005B45CD">
        <w:rPr>
          <w:rFonts w:ascii="Times New Roman" w:hAnsi="Times New Roman"/>
          <w:sz w:val="24"/>
          <w:szCs w:val="24"/>
        </w:rPr>
        <w:t xml:space="preserve"> </w:t>
      </w:r>
      <w:r w:rsidRPr="00A37E0C">
        <w:rPr>
          <w:rFonts w:ascii="Times New Roman" w:hAnsi="Times New Roman"/>
          <w:sz w:val="24"/>
          <w:szCs w:val="24"/>
        </w:rPr>
        <w:t xml:space="preserve">СТРОГО В УСТАНОВЛЕННОЕ ВРЕМЯ </w:t>
      </w:r>
      <w:r w:rsidR="005B45CD" w:rsidRPr="00A97E17">
        <w:rPr>
          <w:rFonts w:ascii="Times New Roman" w:hAnsi="Times New Roman"/>
          <w:sz w:val="24"/>
          <w:szCs w:val="24"/>
        </w:rPr>
        <w:t xml:space="preserve">до </w:t>
      </w:r>
      <w:r w:rsidR="005402DF">
        <w:rPr>
          <w:rFonts w:ascii="Times New Roman" w:hAnsi="Times New Roman"/>
          <w:sz w:val="24"/>
          <w:szCs w:val="24"/>
        </w:rPr>
        <w:t>19</w:t>
      </w:r>
      <w:r w:rsidRPr="00A97E17">
        <w:rPr>
          <w:rFonts w:ascii="Times New Roman" w:hAnsi="Times New Roman"/>
          <w:sz w:val="24"/>
          <w:szCs w:val="24"/>
        </w:rPr>
        <w:t xml:space="preserve"> ч. 00 мин. «</w:t>
      </w:r>
      <w:r w:rsidR="00164770">
        <w:rPr>
          <w:rFonts w:ascii="Times New Roman" w:hAnsi="Times New Roman"/>
          <w:sz w:val="24"/>
          <w:szCs w:val="24"/>
        </w:rPr>
        <w:t>02</w:t>
      </w:r>
      <w:r w:rsidRPr="00A97E17">
        <w:rPr>
          <w:rFonts w:ascii="Times New Roman" w:hAnsi="Times New Roman"/>
          <w:sz w:val="24"/>
          <w:szCs w:val="24"/>
        </w:rPr>
        <w:t xml:space="preserve">» </w:t>
      </w:r>
      <w:r w:rsidR="00164770">
        <w:rPr>
          <w:rFonts w:ascii="Times New Roman" w:hAnsi="Times New Roman"/>
          <w:sz w:val="24"/>
          <w:szCs w:val="24"/>
        </w:rPr>
        <w:t>августа</w:t>
      </w:r>
      <w:r w:rsidRPr="00A97E17">
        <w:rPr>
          <w:rFonts w:ascii="Times New Roman" w:hAnsi="Times New Roman"/>
          <w:sz w:val="24"/>
          <w:szCs w:val="24"/>
        </w:rPr>
        <w:t xml:space="preserve"> 20</w:t>
      </w:r>
      <w:r w:rsidR="004B4B2A" w:rsidRPr="00A97E17">
        <w:rPr>
          <w:rFonts w:ascii="Times New Roman" w:hAnsi="Times New Roman"/>
          <w:sz w:val="24"/>
          <w:szCs w:val="24"/>
        </w:rPr>
        <w:t>2</w:t>
      </w:r>
      <w:r w:rsidR="00164770">
        <w:rPr>
          <w:rFonts w:ascii="Times New Roman" w:hAnsi="Times New Roman"/>
          <w:sz w:val="24"/>
          <w:szCs w:val="24"/>
        </w:rPr>
        <w:t>4</w:t>
      </w:r>
      <w:r w:rsidRPr="00A97E17">
        <w:rPr>
          <w:rFonts w:ascii="Times New Roman" w:hAnsi="Times New Roman"/>
          <w:sz w:val="24"/>
          <w:szCs w:val="24"/>
        </w:rPr>
        <w:t xml:space="preserve"> года.</w:t>
      </w:r>
    </w:p>
    <w:p w:rsidR="00CA6BDB" w:rsidRPr="00E74460" w:rsidRDefault="00CA6BDB" w:rsidP="00CA6BDB">
      <w:pPr>
        <w:pStyle w:val="af1"/>
        <w:overflowPunct w:val="0"/>
        <w:autoSpaceDE w:val="0"/>
        <w:autoSpaceDN w:val="0"/>
        <w:adjustRightInd w:val="0"/>
        <w:spacing w:before="120" w:after="120"/>
        <w:contextualSpacing w:val="0"/>
        <w:jc w:val="both"/>
        <w:rPr>
          <w:rFonts w:ascii="Times New Roman" w:hAnsi="Times New Roman"/>
          <w:sz w:val="24"/>
          <w:szCs w:val="24"/>
        </w:rPr>
      </w:pPr>
    </w:p>
    <w:p w:rsidR="00F7254D" w:rsidRPr="00E74460" w:rsidRDefault="00BF3744" w:rsidP="008123A7">
      <w:pPr>
        <w:pStyle w:val="1"/>
        <w:keepLines w:val="0"/>
        <w:numPr>
          <w:ilvl w:val="0"/>
          <w:numId w:val="24"/>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74460">
        <w:rPr>
          <w:rFonts w:ascii="Times New Roman" w:hAnsi="Times New Roman" w:cs="Times New Roman"/>
          <w:color w:val="auto"/>
          <w:sz w:val="24"/>
          <w:szCs w:val="24"/>
        </w:rPr>
        <w:t>Критерии определения Победителя тендера:</w:t>
      </w:r>
    </w:p>
    <w:p w:rsidR="00F7254D" w:rsidRPr="00E74460" w:rsidRDefault="00BF3744" w:rsidP="000F6F2E">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E74460">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tbl>
      <w:tblPr>
        <w:tblStyle w:val="ab"/>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1559"/>
        <w:gridCol w:w="5068"/>
      </w:tblGrid>
      <w:tr w:rsidR="00CB3E0B" w:rsidRPr="00E74460" w:rsidTr="00A11348">
        <w:trPr>
          <w:trHeight w:val="557"/>
        </w:trPr>
        <w:tc>
          <w:tcPr>
            <w:tcW w:w="1242" w:type="dxa"/>
            <w:vMerge w:val="restart"/>
            <w:hideMark/>
          </w:tcPr>
          <w:p w:rsidR="00CB3E0B" w:rsidRPr="00E74460" w:rsidRDefault="00CB3E0B" w:rsidP="00716C22">
            <w:pPr>
              <w:pStyle w:val="af1"/>
              <w:overflowPunct w:val="0"/>
              <w:autoSpaceDE w:val="0"/>
              <w:autoSpaceDN w:val="0"/>
              <w:adjustRightInd w:val="0"/>
              <w:spacing w:before="120" w:after="120"/>
              <w:jc w:val="center"/>
              <w:rPr>
                <w:rFonts w:ascii="Times New Roman" w:hAnsi="Times New Roman"/>
                <w:b/>
                <w:bCs/>
                <w:sz w:val="24"/>
                <w:szCs w:val="24"/>
              </w:rPr>
            </w:pPr>
            <w:r w:rsidRPr="00E74460">
              <w:rPr>
                <w:rFonts w:ascii="Times New Roman" w:hAnsi="Times New Roman"/>
                <w:b/>
                <w:bCs/>
                <w:sz w:val="24"/>
                <w:szCs w:val="24"/>
              </w:rPr>
              <w:t>Критерии оценки предложений</w:t>
            </w:r>
          </w:p>
        </w:tc>
        <w:tc>
          <w:tcPr>
            <w:tcW w:w="1985" w:type="dxa"/>
            <w:hideMark/>
          </w:tcPr>
          <w:p w:rsidR="00CB3E0B" w:rsidRPr="00E74460" w:rsidRDefault="00CB3E0B" w:rsidP="00716C22">
            <w:pPr>
              <w:pStyle w:val="af1"/>
              <w:overflowPunct w:val="0"/>
              <w:autoSpaceDE w:val="0"/>
              <w:autoSpaceDN w:val="0"/>
              <w:adjustRightInd w:val="0"/>
              <w:spacing w:before="120" w:after="120"/>
              <w:jc w:val="center"/>
              <w:rPr>
                <w:rFonts w:ascii="Times New Roman" w:hAnsi="Times New Roman"/>
                <w:b/>
                <w:sz w:val="24"/>
                <w:szCs w:val="24"/>
              </w:rPr>
            </w:pPr>
            <w:r w:rsidRPr="00E74460">
              <w:rPr>
                <w:rFonts w:ascii="Times New Roman" w:hAnsi="Times New Roman"/>
                <w:b/>
                <w:sz w:val="24"/>
                <w:szCs w:val="24"/>
              </w:rPr>
              <w:t>наименование критерия</w:t>
            </w:r>
          </w:p>
        </w:tc>
        <w:tc>
          <w:tcPr>
            <w:tcW w:w="1559" w:type="dxa"/>
            <w:hideMark/>
          </w:tcPr>
          <w:p w:rsidR="00CB3E0B" w:rsidRPr="00E74460" w:rsidRDefault="00CB3E0B" w:rsidP="00716C22">
            <w:pPr>
              <w:pStyle w:val="af1"/>
              <w:overflowPunct w:val="0"/>
              <w:autoSpaceDE w:val="0"/>
              <w:autoSpaceDN w:val="0"/>
              <w:adjustRightInd w:val="0"/>
              <w:spacing w:before="120" w:after="120"/>
              <w:jc w:val="center"/>
              <w:rPr>
                <w:rFonts w:ascii="Times New Roman" w:hAnsi="Times New Roman"/>
                <w:b/>
                <w:sz w:val="24"/>
                <w:szCs w:val="24"/>
              </w:rPr>
            </w:pPr>
            <w:r w:rsidRPr="00E74460">
              <w:rPr>
                <w:rFonts w:ascii="Times New Roman" w:hAnsi="Times New Roman"/>
                <w:b/>
                <w:sz w:val="24"/>
                <w:szCs w:val="24"/>
              </w:rPr>
              <w:t>вес критерия %</w:t>
            </w:r>
          </w:p>
        </w:tc>
        <w:tc>
          <w:tcPr>
            <w:tcW w:w="5068" w:type="dxa"/>
            <w:hideMark/>
          </w:tcPr>
          <w:p w:rsidR="00CB3E0B" w:rsidRPr="00E74460" w:rsidRDefault="00CB3E0B" w:rsidP="00716C22">
            <w:pPr>
              <w:pStyle w:val="af1"/>
              <w:overflowPunct w:val="0"/>
              <w:autoSpaceDE w:val="0"/>
              <w:autoSpaceDN w:val="0"/>
              <w:adjustRightInd w:val="0"/>
              <w:spacing w:before="120" w:after="120"/>
              <w:jc w:val="center"/>
              <w:rPr>
                <w:rFonts w:ascii="Times New Roman" w:hAnsi="Times New Roman"/>
                <w:b/>
                <w:sz w:val="24"/>
                <w:szCs w:val="24"/>
              </w:rPr>
            </w:pPr>
            <w:r w:rsidRPr="00E74460">
              <w:rPr>
                <w:rFonts w:ascii="Times New Roman" w:hAnsi="Times New Roman"/>
                <w:b/>
                <w:sz w:val="24"/>
                <w:szCs w:val="24"/>
              </w:rPr>
              <w:t>комментарии</w:t>
            </w:r>
          </w:p>
        </w:tc>
      </w:tr>
      <w:tr w:rsidR="00E27A56" w:rsidRPr="00E74460" w:rsidTr="00A11348">
        <w:trPr>
          <w:trHeight w:val="527"/>
        </w:trPr>
        <w:tc>
          <w:tcPr>
            <w:tcW w:w="1242" w:type="dxa"/>
            <w:vMerge/>
          </w:tcPr>
          <w:p w:rsidR="00E27A56" w:rsidRPr="00E74460" w:rsidRDefault="00E27A56" w:rsidP="00716C22">
            <w:pPr>
              <w:pStyle w:val="af1"/>
              <w:overflowPunct w:val="0"/>
              <w:autoSpaceDE w:val="0"/>
              <w:autoSpaceDN w:val="0"/>
              <w:adjustRightInd w:val="0"/>
              <w:spacing w:before="120" w:after="120"/>
              <w:jc w:val="center"/>
              <w:rPr>
                <w:rFonts w:ascii="Times New Roman" w:hAnsi="Times New Roman"/>
                <w:b/>
                <w:bCs/>
                <w:sz w:val="24"/>
                <w:szCs w:val="24"/>
              </w:rPr>
            </w:pPr>
          </w:p>
        </w:tc>
        <w:tc>
          <w:tcPr>
            <w:tcW w:w="1985" w:type="dxa"/>
          </w:tcPr>
          <w:p w:rsidR="00E27A56" w:rsidRPr="00A97E17" w:rsidRDefault="00E27A56" w:rsidP="00E27A56">
            <w:pPr>
              <w:pStyle w:val="af1"/>
              <w:overflowPunct w:val="0"/>
              <w:autoSpaceDE w:val="0"/>
              <w:autoSpaceDN w:val="0"/>
              <w:adjustRightInd w:val="0"/>
              <w:spacing w:before="120" w:after="120"/>
              <w:jc w:val="center"/>
              <w:rPr>
                <w:rFonts w:ascii="Times New Roman" w:hAnsi="Times New Roman"/>
                <w:b/>
                <w:sz w:val="24"/>
                <w:szCs w:val="24"/>
              </w:rPr>
            </w:pPr>
            <w:r w:rsidRPr="00A97E17">
              <w:rPr>
                <w:rFonts w:ascii="Times New Roman" w:hAnsi="Times New Roman"/>
                <w:b/>
                <w:sz w:val="24"/>
                <w:szCs w:val="24"/>
              </w:rPr>
              <w:t>Цена</w:t>
            </w:r>
          </w:p>
          <w:p w:rsidR="00E27A56" w:rsidRPr="00A97E17" w:rsidRDefault="00E27A56" w:rsidP="00E27A56">
            <w:pPr>
              <w:pStyle w:val="af1"/>
              <w:overflowPunct w:val="0"/>
              <w:autoSpaceDE w:val="0"/>
              <w:autoSpaceDN w:val="0"/>
              <w:adjustRightInd w:val="0"/>
              <w:spacing w:before="120" w:after="120"/>
              <w:jc w:val="center"/>
              <w:rPr>
                <w:rFonts w:ascii="Times New Roman" w:hAnsi="Times New Roman"/>
                <w:b/>
                <w:sz w:val="24"/>
                <w:szCs w:val="24"/>
              </w:rPr>
            </w:pPr>
          </w:p>
        </w:tc>
        <w:tc>
          <w:tcPr>
            <w:tcW w:w="1559" w:type="dxa"/>
          </w:tcPr>
          <w:p w:rsidR="00E27A56" w:rsidRPr="00A97E17" w:rsidRDefault="006A4A8D" w:rsidP="000F6F2E">
            <w:pPr>
              <w:pStyle w:val="af1"/>
              <w:overflowPunct w:val="0"/>
              <w:autoSpaceDE w:val="0"/>
              <w:autoSpaceDN w:val="0"/>
              <w:adjustRightInd w:val="0"/>
              <w:spacing w:before="120" w:after="120"/>
              <w:jc w:val="center"/>
              <w:rPr>
                <w:rFonts w:ascii="Times New Roman" w:hAnsi="Times New Roman"/>
                <w:b/>
                <w:sz w:val="24"/>
                <w:szCs w:val="24"/>
              </w:rPr>
            </w:pPr>
            <w:r w:rsidRPr="00A97E17">
              <w:rPr>
                <w:rFonts w:ascii="Times New Roman" w:hAnsi="Times New Roman"/>
                <w:b/>
                <w:sz w:val="24"/>
                <w:szCs w:val="24"/>
                <w:lang w:val="en-US"/>
              </w:rPr>
              <w:t>6</w:t>
            </w:r>
            <w:r w:rsidR="00844E0D" w:rsidRPr="00A97E17">
              <w:rPr>
                <w:rFonts w:ascii="Times New Roman" w:hAnsi="Times New Roman"/>
                <w:b/>
                <w:sz w:val="24"/>
                <w:szCs w:val="24"/>
              </w:rPr>
              <w:t>0</w:t>
            </w:r>
            <w:r w:rsidR="00E27A56" w:rsidRPr="00A97E17">
              <w:rPr>
                <w:rFonts w:ascii="Times New Roman" w:hAnsi="Times New Roman"/>
                <w:b/>
                <w:sz w:val="24"/>
                <w:szCs w:val="24"/>
              </w:rPr>
              <w:t>%</w:t>
            </w:r>
          </w:p>
        </w:tc>
        <w:tc>
          <w:tcPr>
            <w:tcW w:w="5068" w:type="dxa"/>
          </w:tcPr>
          <w:p w:rsidR="00E27A56" w:rsidRPr="00A97E17" w:rsidRDefault="00E74460" w:rsidP="00E74460">
            <w:pPr>
              <w:pStyle w:val="af1"/>
              <w:overflowPunct w:val="0"/>
              <w:autoSpaceDE w:val="0"/>
              <w:autoSpaceDN w:val="0"/>
              <w:adjustRightInd w:val="0"/>
              <w:spacing w:before="120" w:after="120"/>
              <w:rPr>
                <w:rFonts w:ascii="Times New Roman" w:hAnsi="Times New Roman"/>
                <w:sz w:val="24"/>
                <w:szCs w:val="24"/>
              </w:rPr>
            </w:pPr>
            <w:r w:rsidRPr="00A97E17">
              <w:rPr>
                <w:rFonts w:ascii="Times New Roman" w:hAnsi="Times New Roman"/>
                <w:sz w:val="24"/>
                <w:szCs w:val="24"/>
              </w:rPr>
              <w:t>Наименьшая стоимость</w:t>
            </w:r>
          </w:p>
        </w:tc>
      </w:tr>
      <w:tr w:rsidR="00E27A56" w:rsidRPr="00E74460" w:rsidTr="00A11348">
        <w:trPr>
          <w:trHeight w:val="607"/>
        </w:trPr>
        <w:tc>
          <w:tcPr>
            <w:tcW w:w="1242" w:type="dxa"/>
            <w:vMerge/>
          </w:tcPr>
          <w:p w:rsidR="00E27A56" w:rsidRPr="00E74460" w:rsidRDefault="00E27A56" w:rsidP="00716C22">
            <w:pPr>
              <w:pStyle w:val="af1"/>
              <w:overflowPunct w:val="0"/>
              <w:autoSpaceDE w:val="0"/>
              <w:autoSpaceDN w:val="0"/>
              <w:adjustRightInd w:val="0"/>
              <w:spacing w:before="120" w:after="120"/>
              <w:jc w:val="center"/>
              <w:rPr>
                <w:rFonts w:ascii="Times New Roman" w:hAnsi="Times New Roman"/>
                <w:b/>
                <w:bCs/>
                <w:sz w:val="24"/>
                <w:szCs w:val="24"/>
              </w:rPr>
            </w:pPr>
          </w:p>
        </w:tc>
        <w:tc>
          <w:tcPr>
            <w:tcW w:w="1985" w:type="dxa"/>
          </w:tcPr>
          <w:p w:rsidR="00E27A56" w:rsidRPr="00A97E17" w:rsidRDefault="00CA6BDB" w:rsidP="00E27A56">
            <w:pPr>
              <w:pStyle w:val="af1"/>
              <w:overflowPunct w:val="0"/>
              <w:autoSpaceDE w:val="0"/>
              <w:autoSpaceDN w:val="0"/>
              <w:adjustRightInd w:val="0"/>
              <w:spacing w:before="120" w:after="120"/>
              <w:jc w:val="center"/>
              <w:rPr>
                <w:rFonts w:ascii="Times New Roman" w:hAnsi="Times New Roman"/>
                <w:b/>
                <w:sz w:val="24"/>
                <w:szCs w:val="24"/>
              </w:rPr>
            </w:pPr>
            <w:r w:rsidRPr="00A97E17">
              <w:rPr>
                <w:rFonts w:ascii="Times New Roman" w:hAnsi="Times New Roman"/>
                <w:b/>
                <w:sz w:val="24"/>
                <w:szCs w:val="24"/>
              </w:rPr>
              <w:t>К</w:t>
            </w:r>
            <w:r w:rsidR="00325495" w:rsidRPr="00A97E17">
              <w:rPr>
                <w:rFonts w:ascii="Times New Roman" w:hAnsi="Times New Roman"/>
                <w:b/>
                <w:sz w:val="24"/>
                <w:szCs w:val="24"/>
              </w:rPr>
              <w:t>валификация участника</w:t>
            </w:r>
          </w:p>
        </w:tc>
        <w:tc>
          <w:tcPr>
            <w:tcW w:w="1559" w:type="dxa"/>
          </w:tcPr>
          <w:p w:rsidR="00E27A56" w:rsidRPr="00A97E17" w:rsidRDefault="00A11348" w:rsidP="00E27A56">
            <w:pPr>
              <w:pStyle w:val="af1"/>
              <w:overflowPunct w:val="0"/>
              <w:autoSpaceDE w:val="0"/>
              <w:autoSpaceDN w:val="0"/>
              <w:adjustRightInd w:val="0"/>
              <w:spacing w:before="120" w:after="120"/>
              <w:jc w:val="center"/>
              <w:rPr>
                <w:rFonts w:ascii="Times New Roman" w:hAnsi="Times New Roman"/>
                <w:b/>
                <w:sz w:val="24"/>
                <w:szCs w:val="24"/>
              </w:rPr>
            </w:pPr>
            <w:r w:rsidRPr="00A97E17">
              <w:rPr>
                <w:rFonts w:ascii="Times New Roman" w:hAnsi="Times New Roman"/>
                <w:b/>
                <w:sz w:val="24"/>
                <w:szCs w:val="24"/>
                <w:lang w:val="en-US"/>
              </w:rPr>
              <w:t>2</w:t>
            </w:r>
            <w:r w:rsidR="00E74460" w:rsidRPr="00A97E17">
              <w:rPr>
                <w:rFonts w:ascii="Times New Roman" w:hAnsi="Times New Roman"/>
                <w:b/>
                <w:sz w:val="24"/>
                <w:szCs w:val="24"/>
              </w:rPr>
              <w:t>0</w:t>
            </w:r>
            <w:r w:rsidR="00E27A56" w:rsidRPr="00A97E17">
              <w:rPr>
                <w:rFonts w:ascii="Times New Roman" w:hAnsi="Times New Roman"/>
                <w:b/>
                <w:sz w:val="24"/>
                <w:szCs w:val="24"/>
              </w:rPr>
              <w:t>%</w:t>
            </w:r>
          </w:p>
        </w:tc>
        <w:tc>
          <w:tcPr>
            <w:tcW w:w="5068" w:type="dxa"/>
          </w:tcPr>
          <w:p w:rsidR="00E81813" w:rsidRPr="00A97E17" w:rsidRDefault="005D28D9" w:rsidP="001A37F2">
            <w:pPr>
              <w:spacing w:before="100" w:beforeAutospacing="1" w:after="240"/>
              <w:rPr>
                <w:rFonts w:ascii="Times New Roman" w:hAnsi="Times New Roman"/>
                <w:sz w:val="24"/>
                <w:szCs w:val="24"/>
              </w:rPr>
            </w:pPr>
            <w:r w:rsidRPr="00A97E17">
              <w:rPr>
                <w:rFonts w:ascii="Times New Roman" w:hAnsi="Times New Roman"/>
                <w:sz w:val="24"/>
                <w:szCs w:val="24"/>
              </w:rPr>
              <w:t xml:space="preserve">1.Туроператорская лицензия. </w:t>
            </w:r>
            <w:r w:rsidR="00E8617D" w:rsidRPr="00A97E17">
              <w:rPr>
                <w:rFonts w:ascii="Times New Roman" w:hAnsi="Times New Roman"/>
                <w:sz w:val="24"/>
                <w:szCs w:val="24"/>
              </w:rPr>
              <w:t>(либо у участника, либо у турагентства-</w:t>
            </w:r>
            <w:r w:rsidR="001A37F2" w:rsidRPr="00A97E17">
              <w:rPr>
                <w:rFonts w:ascii="Times New Roman" w:hAnsi="Times New Roman"/>
                <w:sz w:val="24"/>
                <w:szCs w:val="24"/>
              </w:rPr>
              <w:t xml:space="preserve">субподрядчика) </w:t>
            </w:r>
            <w:r w:rsidRPr="00A97E17">
              <w:rPr>
                <w:rFonts w:ascii="Times New Roman" w:hAnsi="Times New Roman"/>
                <w:sz w:val="24"/>
                <w:szCs w:val="24"/>
              </w:rPr>
              <w:t>2.Наличие рекомендательных писем и по</w:t>
            </w:r>
            <w:r w:rsidR="00201776" w:rsidRPr="00A97E17">
              <w:rPr>
                <w:rFonts w:ascii="Times New Roman" w:hAnsi="Times New Roman"/>
                <w:sz w:val="24"/>
                <w:szCs w:val="24"/>
              </w:rPr>
              <w:t xml:space="preserve">ртфолио по предложенным </w:t>
            </w:r>
            <w:r w:rsidR="001A37F2" w:rsidRPr="00A97E17">
              <w:rPr>
                <w:rFonts w:ascii="Times New Roman" w:hAnsi="Times New Roman"/>
                <w:sz w:val="24"/>
                <w:szCs w:val="24"/>
              </w:rPr>
              <w:t>городам</w:t>
            </w:r>
            <w:r w:rsidR="00201776" w:rsidRPr="00A97E17">
              <w:rPr>
                <w:rFonts w:ascii="Times New Roman" w:hAnsi="Times New Roman"/>
                <w:sz w:val="24"/>
                <w:szCs w:val="24"/>
              </w:rPr>
              <w:t xml:space="preserve">, с указанием </w:t>
            </w:r>
            <w:r w:rsidR="00201776" w:rsidRPr="00A97E17">
              <w:rPr>
                <w:rFonts w:ascii="Times New Roman" w:hAnsi="Times New Roman"/>
                <w:sz w:val="24"/>
                <w:szCs w:val="24"/>
                <w:lang w:val="en-US"/>
              </w:rPr>
              <w:t>DMC</w:t>
            </w:r>
            <w:r w:rsidR="00201776" w:rsidRPr="00A97E17">
              <w:rPr>
                <w:rFonts w:ascii="Times New Roman" w:hAnsi="Times New Roman"/>
                <w:sz w:val="24"/>
                <w:szCs w:val="24"/>
              </w:rPr>
              <w:t xml:space="preserve"> и их контактами </w:t>
            </w:r>
            <w:r w:rsidRPr="00A97E17">
              <w:rPr>
                <w:rFonts w:ascii="Times New Roman" w:hAnsi="Times New Roman"/>
                <w:sz w:val="24"/>
                <w:szCs w:val="24"/>
              </w:rPr>
              <w:t>3. Опыт проведения MICE-  ме</w:t>
            </w:r>
            <w:r w:rsidR="001A37F2" w:rsidRPr="00A97E17">
              <w:rPr>
                <w:rFonts w:ascii="Times New Roman" w:hAnsi="Times New Roman"/>
                <w:sz w:val="24"/>
                <w:szCs w:val="24"/>
              </w:rPr>
              <w:t>роприятий в предложенных городах</w:t>
            </w:r>
            <w:r w:rsidR="00E94227" w:rsidRPr="00A97E17">
              <w:rPr>
                <w:rFonts w:ascii="Times New Roman" w:hAnsi="Times New Roman"/>
                <w:sz w:val="24"/>
                <w:szCs w:val="24"/>
              </w:rPr>
              <w:t>, с кол-вом человек от 25</w:t>
            </w:r>
            <w:r w:rsidRPr="00A97E17">
              <w:rPr>
                <w:rFonts w:ascii="Times New Roman" w:hAnsi="Times New Roman"/>
                <w:sz w:val="24"/>
                <w:szCs w:val="24"/>
              </w:rPr>
              <w:t>0, с бюдже</w:t>
            </w:r>
            <w:r w:rsidR="00164770">
              <w:rPr>
                <w:rFonts w:ascii="Times New Roman" w:hAnsi="Times New Roman"/>
                <w:sz w:val="24"/>
                <w:szCs w:val="24"/>
              </w:rPr>
              <w:t>том от 20 миллионов руб., в 2023-2024</w:t>
            </w:r>
            <w:r w:rsidRPr="00A97E17">
              <w:rPr>
                <w:rFonts w:ascii="Times New Roman" w:hAnsi="Times New Roman"/>
                <w:sz w:val="24"/>
                <w:szCs w:val="24"/>
              </w:rPr>
              <w:t xml:space="preserve"> гг.</w:t>
            </w:r>
          </w:p>
        </w:tc>
      </w:tr>
      <w:tr w:rsidR="00CB3E0B" w:rsidRPr="00E74460" w:rsidTr="00A11348">
        <w:trPr>
          <w:trHeight w:val="937"/>
        </w:trPr>
        <w:tc>
          <w:tcPr>
            <w:tcW w:w="1242" w:type="dxa"/>
            <w:vMerge/>
            <w:hideMark/>
          </w:tcPr>
          <w:p w:rsidR="00CB3E0B" w:rsidRPr="00E74460" w:rsidRDefault="00CB3E0B" w:rsidP="00716C22">
            <w:pPr>
              <w:pStyle w:val="af1"/>
              <w:overflowPunct w:val="0"/>
              <w:autoSpaceDE w:val="0"/>
              <w:autoSpaceDN w:val="0"/>
              <w:adjustRightInd w:val="0"/>
              <w:spacing w:before="120" w:after="120"/>
              <w:jc w:val="both"/>
              <w:rPr>
                <w:rFonts w:ascii="Times New Roman" w:hAnsi="Times New Roman"/>
                <w:b/>
                <w:bCs/>
                <w:sz w:val="24"/>
                <w:szCs w:val="24"/>
              </w:rPr>
            </w:pPr>
          </w:p>
        </w:tc>
        <w:tc>
          <w:tcPr>
            <w:tcW w:w="1985" w:type="dxa"/>
          </w:tcPr>
          <w:p w:rsidR="00F7254D" w:rsidRPr="00A97E17" w:rsidRDefault="00CA6BDB" w:rsidP="00844E0D">
            <w:pPr>
              <w:pStyle w:val="af1"/>
              <w:overflowPunct w:val="0"/>
              <w:autoSpaceDE w:val="0"/>
              <w:autoSpaceDN w:val="0"/>
              <w:adjustRightInd w:val="0"/>
              <w:spacing w:before="120" w:after="120"/>
              <w:jc w:val="center"/>
              <w:rPr>
                <w:rFonts w:ascii="Times New Roman" w:hAnsi="Times New Roman"/>
                <w:b/>
                <w:sz w:val="24"/>
                <w:szCs w:val="24"/>
              </w:rPr>
            </w:pPr>
            <w:r w:rsidRPr="00A97E17">
              <w:rPr>
                <w:rFonts w:ascii="Times New Roman" w:hAnsi="Times New Roman"/>
                <w:b/>
                <w:sz w:val="24"/>
                <w:szCs w:val="24"/>
              </w:rPr>
              <w:t>Функциональные характеристики</w:t>
            </w:r>
          </w:p>
        </w:tc>
        <w:tc>
          <w:tcPr>
            <w:tcW w:w="1559" w:type="dxa"/>
          </w:tcPr>
          <w:p w:rsidR="00CB3E0B" w:rsidRPr="00A97E17" w:rsidRDefault="006A4A8D" w:rsidP="00E27A56">
            <w:pPr>
              <w:pStyle w:val="af1"/>
              <w:overflowPunct w:val="0"/>
              <w:autoSpaceDE w:val="0"/>
              <w:autoSpaceDN w:val="0"/>
              <w:adjustRightInd w:val="0"/>
              <w:spacing w:before="120" w:after="120"/>
              <w:jc w:val="center"/>
              <w:rPr>
                <w:rFonts w:ascii="Times New Roman" w:hAnsi="Times New Roman"/>
                <w:b/>
                <w:sz w:val="24"/>
                <w:szCs w:val="24"/>
              </w:rPr>
            </w:pPr>
            <w:r w:rsidRPr="00A97E17">
              <w:rPr>
                <w:rFonts w:ascii="Times New Roman" w:hAnsi="Times New Roman"/>
                <w:b/>
                <w:sz w:val="24"/>
                <w:szCs w:val="24"/>
              </w:rPr>
              <w:t>2</w:t>
            </w:r>
            <w:r w:rsidR="00E74460" w:rsidRPr="00A97E17">
              <w:rPr>
                <w:rFonts w:ascii="Times New Roman" w:hAnsi="Times New Roman"/>
                <w:b/>
                <w:sz w:val="24"/>
                <w:szCs w:val="24"/>
              </w:rPr>
              <w:t>0</w:t>
            </w:r>
            <w:r w:rsidR="00325495" w:rsidRPr="00A97E17">
              <w:rPr>
                <w:rFonts w:ascii="Times New Roman" w:hAnsi="Times New Roman"/>
                <w:b/>
                <w:sz w:val="24"/>
                <w:szCs w:val="24"/>
              </w:rPr>
              <w:t>%</w:t>
            </w:r>
          </w:p>
        </w:tc>
        <w:tc>
          <w:tcPr>
            <w:tcW w:w="5068" w:type="dxa"/>
          </w:tcPr>
          <w:p w:rsidR="005D28D9" w:rsidRPr="00A97E17" w:rsidRDefault="001A37F2" w:rsidP="00E74460">
            <w:pPr>
              <w:pStyle w:val="af1"/>
              <w:overflowPunct w:val="0"/>
              <w:autoSpaceDE w:val="0"/>
              <w:autoSpaceDN w:val="0"/>
              <w:adjustRightInd w:val="0"/>
              <w:spacing w:before="120" w:after="120"/>
              <w:rPr>
                <w:rFonts w:ascii="Times New Roman" w:hAnsi="Times New Roman"/>
                <w:sz w:val="24"/>
                <w:szCs w:val="24"/>
              </w:rPr>
            </w:pPr>
            <w:r w:rsidRPr="00A97E17">
              <w:rPr>
                <w:rFonts w:ascii="Times New Roman" w:hAnsi="Times New Roman"/>
                <w:b/>
                <w:sz w:val="24"/>
                <w:szCs w:val="24"/>
              </w:rPr>
              <w:t xml:space="preserve">Логистика: </w:t>
            </w:r>
            <w:r w:rsidRPr="00A97E17">
              <w:rPr>
                <w:rFonts w:ascii="Times New Roman" w:hAnsi="Times New Roman"/>
                <w:sz w:val="24"/>
                <w:szCs w:val="24"/>
              </w:rPr>
              <w:t>Расположение о</w:t>
            </w:r>
            <w:r w:rsidR="00164770">
              <w:rPr>
                <w:rFonts w:ascii="Times New Roman" w:hAnsi="Times New Roman"/>
                <w:sz w:val="24"/>
                <w:szCs w:val="24"/>
              </w:rPr>
              <w:t>теля от аэропорта не дольше 1 часа</w:t>
            </w:r>
            <w:r w:rsidRPr="00A97E17">
              <w:rPr>
                <w:rFonts w:ascii="Times New Roman" w:hAnsi="Times New Roman"/>
                <w:sz w:val="24"/>
                <w:szCs w:val="24"/>
              </w:rPr>
              <w:t xml:space="preserve"> поездки на заказных автобусах</w:t>
            </w:r>
          </w:p>
          <w:p w:rsidR="00CB3E0B" w:rsidRPr="00A97E17" w:rsidRDefault="005D28D9" w:rsidP="00E74460">
            <w:pPr>
              <w:pStyle w:val="af1"/>
              <w:overflowPunct w:val="0"/>
              <w:autoSpaceDE w:val="0"/>
              <w:autoSpaceDN w:val="0"/>
              <w:adjustRightInd w:val="0"/>
              <w:spacing w:before="120" w:after="120"/>
              <w:rPr>
                <w:rFonts w:ascii="Times New Roman" w:hAnsi="Times New Roman"/>
                <w:b/>
                <w:sz w:val="24"/>
                <w:szCs w:val="24"/>
              </w:rPr>
            </w:pPr>
            <w:r w:rsidRPr="00A97E17">
              <w:rPr>
                <w:rFonts w:ascii="Times New Roman" w:hAnsi="Times New Roman"/>
                <w:b/>
                <w:sz w:val="24"/>
                <w:szCs w:val="24"/>
              </w:rPr>
              <w:t xml:space="preserve"> Обеспечение мероприятия:</w:t>
            </w:r>
            <w:r w:rsidRPr="00A97E17">
              <w:rPr>
                <w:rFonts w:ascii="Times New Roman" w:hAnsi="Times New Roman"/>
                <w:sz w:val="24"/>
                <w:szCs w:val="24"/>
              </w:rPr>
              <w:t xml:space="preserve"> количество предст</w:t>
            </w:r>
            <w:r w:rsidR="001A37F2" w:rsidRPr="00A97E17">
              <w:rPr>
                <w:rFonts w:ascii="Times New Roman" w:hAnsi="Times New Roman"/>
                <w:sz w:val="24"/>
                <w:szCs w:val="24"/>
              </w:rPr>
              <w:t>авителей поставщика на площадке, наличие залов</w:t>
            </w:r>
          </w:p>
        </w:tc>
      </w:tr>
    </w:tbl>
    <w:p w:rsidR="003A5D9E" w:rsidRPr="00E74460" w:rsidRDefault="003A5D9E" w:rsidP="00716C22">
      <w:pPr>
        <w:pStyle w:val="af1"/>
        <w:overflowPunct w:val="0"/>
        <w:autoSpaceDE w:val="0"/>
        <w:autoSpaceDN w:val="0"/>
        <w:adjustRightInd w:val="0"/>
        <w:spacing w:before="120" w:after="120"/>
        <w:contextualSpacing w:val="0"/>
        <w:jc w:val="both"/>
        <w:rPr>
          <w:rFonts w:ascii="Times New Roman" w:hAnsi="Times New Roman"/>
          <w:sz w:val="24"/>
          <w:szCs w:val="24"/>
        </w:rPr>
      </w:pPr>
    </w:p>
    <w:p w:rsidR="00E81813" w:rsidRDefault="008123A7" w:rsidP="00716C22">
      <w:pPr>
        <w:pStyle w:val="af1"/>
        <w:overflowPunct w:val="0"/>
        <w:autoSpaceDE w:val="0"/>
        <w:autoSpaceDN w:val="0"/>
        <w:adjustRightInd w:val="0"/>
        <w:spacing w:before="120" w:after="120"/>
        <w:contextualSpacing w:val="0"/>
        <w:jc w:val="both"/>
        <w:rPr>
          <w:rFonts w:ascii="Times New Roman" w:hAnsi="Times New Roman"/>
          <w:sz w:val="24"/>
          <w:szCs w:val="24"/>
        </w:rPr>
      </w:pPr>
      <w:r>
        <w:rPr>
          <w:rFonts w:ascii="Times New Roman" w:hAnsi="Times New Roman"/>
          <w:sz w:val="24"/>
          <w:szCs w:val="24"/>
        </w:rPr>
        <w:t>2.2</w:t>
      </w:r>
      <w:r w:rsidR="003A5D9E" w:rsidRPr="00E74460">
        <w:rPr>
          <w:rFonts w:ascii="Times New Roman" w:hAnsi="Times New Roman"/>
          <w:sz w:val="24"/>
          <w:szCs w:val="24"/>
        </w:rPr>
        <w:t xml:space="preserve"> </w:t>
      </w:r>
      <w:r w:rsidR="00E81813">
        <w:rPr>
          <w:rFonts w:ascii="Times New Roman" w:hAnsi="Times New Roman"/>
          <w:sz w:val="24"/>
          <w:szCs w:val="24"/>
        </w:rPr>
        <w:t>Дополнительным преимуществом будут следующие факторы: Наличие иностранных партнеров</w:t>
      </w:r>
      <w:r w:rsidR="00201776">
        <w:rPr>
          <w:rFonts w:ascii="Times New Roman" w:hAnsi="Times New Roman"/>
          <w:sz w:val="24"/>
          <w:szCs w:val="24"/>
        </w:rPr>
        <w:t xml:space="preserve"> и счетов</w:t>
      </w:r>
      <w:r w:rsidR="00E81813">
        <w:rPr>
          <w:rFonts w:ascii="Times New Roman" w:hAnsi="Times New Roman"/>
          <w:sz w:val="24"/>
          <w:szCs w:val="24"/>
        </w:rPr>
        <w:t xml:space="preserve">, наличие </w:t>
      </w:r>
      <w:r w:rsidR="00E81813">
        <w:rPr>
          <w:rFonts w:ascii="Times New Roman" w:hAnsi="Times New Roman"/>
          <w:sz w:val="24"/>
          <w:szCs w:val="24"/>
          <w:lang w:val="en-US"/>
        </w:rPr>
        <w:t>IT</w:t>
      </w:r>
      <w:r w:rsidR="00E81813">
        <w:rPr>
          <w:rFonts w:ascii="Times New Roman" w:hAnsi="Times New Roman"/>
          <w:sz w:val="24"/>
          <w:szCs w:val="24"/>
        </w:rPr>
        <w:t>-платформы.</w:t>
      </w:r>
    </w:p>
    <w:p w:rsidR="00BF3744" w:rsidRPr="00E74460" w:rsidRDefault="00E81813" w:rsidP="00716C22">
      <w:pPr>
        <w:pStyle w:val="af1"/>
        <w:overflowPunct w:val="0"/>
        <w:autoSpaceDE w:val="0"/>
        <w:autoSpaceDN w:val="0"/>
        <w:adjustRightInd w:val="0"/>
        <w:spacing w:before="120" w:after="120"/>
        <w:contextualSpacing w:val="0"/>
        <w:jc w:val="both"/>
        <w:rPr>
          <w:rFonts w:ascii="Times New Roman" w:hAnsi="Times New Roman"/>
          <w:sz w:val="24"/>
          <w:szCs w:val="24"/>
        </w:rPr>
      </w:pPr>
      <w:r>
        <w:rPr>
          <w:rFonts w:ascii="Times New Roman" w:hAnsi="Times New Roman"/>
          <w:sz w:val="24"/>
          <w:szCs w:val="24"/>
        </w:rPr>
        <w:t xml:space="preserve">2.3 </w:t>
      </w:r>
      <w:r w:rsidR="00BF3744" w:rsidRPr="00E74460">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F202A9" w:rsidRPr="00164770" w:rsidRDefault="00E81813" w:rsidP="00716C22">
      <w:pPr>
        <w:pStyle w:val="af1"/>
        <w:overflowPunct w:val="0"/>
        <w:autoSpaceDE w:val="0"/>
        <w:autoSpaceDN w:val="0"/>
        <w:adjustRightInd w:val="0"/>
        <w:spacing w:before="120" w:after="120"/>
        <w:contextualSpacing w:val="0"/>
        <w:jc w:val="both"/>
        <w:rPr>
          <w:rFonts w:ascii="Times New Roman" w:hAnsi="Times New Roman"/>
          <w:b/>
          <w:sz w:val="24"/>
          <w:szCs w:val="24"/>
          <w:u w:val="single"/>
        </w:rPr>
      </w:pPr>
      <w:r>
        <w:rPr>
          <w:rFonts w:ascii="Times New Roman" w:hAnsi="Times New Roman"/>
          <w:b/>
          <w:sz w:val="24"/>
          <w:szCs w:val="24"/>
        </w:rPr>
        <w:t>2.4</w:t>
      </w:r>
      <w:r w:rsidR="00F202A9" w:rsidRPr="00E74460">
        <w:rPr>
          <w:rFonts w:ascii="Times New Roman" w:hAnsi="Times New Roman"/>
          <w:b/>
          <w:sz w:val="24"/>
          <w:szCs w:val="24"/>
        </w:rPr>
        <w:t xml:space="preserve"> </w:t>
      </w:r>
      <w:r w:rsidR="00F202A9" w:rsidRPr="00E74460">
        <w:rPr>
          <w:rFonts w:ascii="Times New Roman" w:hAnsi="Times New Roman"/>
          <w:b/>
          <w:sz w:val="24"/>
          <w:szCs w:val="24"/>
          <w:u w:val="single"/>
        </w:rPr>
        <w:t xml:space="preserve">При возникновении вопросов необходимо адресовать их на </w:t>
      </w:r>
      <w:proofErr w:type="spellStart"/>
      <w:r w:rsidR="00F202A9" w:rsidRPr="00E74460">
        <w:rPr>
          <w:rFonts w:ascii="Times New Roman" w:hAnsi="Times New Roman"/>
          <w:b/>
          <w:sz w:val="24"/>
          <w:szCs w:val="24"/>
          <w:u w:val="single"/>
        </w:rPr>
        <w:t>эл.почту</w:t>
      </w:r>
      <w:proofErr w:type="spellEnd"/>
      <w:r w:rsidR="00164770">
        <w:rPr>
          <w:rFonts w:ascii="Times New Roman" w:hAnsi="Times New Roman"/>
          <w:b/>
          <w:sz w:val="24"/>
          <w:szCs w:val="24"/>
          <w:u w:val="single"/>
        </w:rPr>
        <w:t xml:space="preserve"> </w:t>
      </w:r>
      <w:hyperlink r:id="rId9" w:history="1">
        <w:r w:rsidR="00164770" w:rsidRPr="003C2F0E">
          <w:rPr>
            <w:rStyle w:val="aa"/>
            <w:rFonts w:ascii="Times New Roman" w:hAnsi="Times New Roman"/>
            <w:b/>
            <w:sz w:val="24"/>
            <w:szCs w:val="24"/>
          </w:rPr>
          <w:t>Ekaterina_Hanykina@kaplife.ru</w:t>
        </w:r>
      </w:hyperlink>
      <w:r w:rsidR="00164770">
        <w:rPr>
          <w:rFonts w:ascii="Times New Roman" w:hAnsi="Times New Roman"/>
          <w:b/>
          <w:sz w:val="24"/>
          <w:szCs w:val="24"/>
        </w:rPr>
        <w:t xml:space="preserve"> (в копию письма почту </w:t>
      </w:r>
      <w:hyperlink r:id="rId10" w:history="1">
        <w:r w:rsidR="008123A7" w:rsidRPr="008123A7">
          <w:rPr>
            <w:rStyle w:val="aa"/>
            <w:rFonts w:ascii="Times New Roman" w:hAnsi="Times New Roman"/>
            <w:b/>
            <w:color w:val="auto"/>
            <w:sz w:val="24"/>
            <w:szCs w:val="24"/>
            <w:lang w:val="en-US"/>
          </w:rPr>
          <w:t>tender</w:t>
        </w:r>
        <w:r w:rsidR="008123A7" w:rsidRPr="008123A7">
          <w:rPr>
            <w:rStyle w:val="aa"/>
            <w:rFonts w:ascii="Times New Roman" w:hAnsi="Times New Roman"/>
            <w:b/>
            <w:color w:val="auto"/>
            <w:sz w:val="24"/>
            <w:szCs w:val="24"/>
          </w:rPr>
          <w:t>@</w:t>
        </w:r>
        <w:proofErr w:type="spellStart"/>
        <w:r w:rsidR="008123A7" w:rsidRPr="008123A7">
          <w:rPr>
            <w:rStyle w:val="aa"/>
            <w:rFonts w:ascii="Times New Roman" w:hAnsi="Times New Roman"/>
            <w:b/>
            <w:color w:val="auto"/>
            <w:sz w:val="24"/>
            <w:szCs w:val="24"/>
            <w:lang w:val="en-US"/>
          </w:rPr>
          <w:t>kaplife</w:t>
        </w:r>
        <w:proofErr w:type="spellEnd"/>
        <w:r w:rsidR="008123A7" w:rsidRPr="008123A7">
          <w:rPr>
            <w:rStyle w:val="aa"/>
            <w:rFonts w:ascii="Times New Roman" w:hAnsi="Times New Roman"/>
            <w:b/>
            <w:color w:val="auto"/>
            <w:sz w:val="24"/>
            <w:szCs w:val="24"/>
          </w:rPr>
          <w:t>.</w:t>
        </w:r>
        <w:proofErr w:type="spellStart"/>
        <w:r w:rsidR="008123A7" w:rsidRPr="008123A7">
          <w:rPr>
            <w:rStyle w:val="aa"/>
            <w:rFonts w:ascii="Times New Roman" w:hAnsi="Times New Roman"/>
            <w:b/>
            <w:color w:val="auto"/>
            <w:sz w:val="24"/>
            <w:szCs w:val="24"/>
            <w:lang w:val="en-US"/>
          </w:rPr>
          <w:t>ru</w:t>
        </w:r>
        <w:proofErr w:type="spellEnd"/>
      </w:hyperlink>
      <w:r w:rsidR="00164770">
        <w:rPr>
          <w:rFonts w:ascii="Times New Roman" w:hAnsi="Times New Roman"/>
          <w:b/>
          <w:sz w:val="24"/>
          <w:szCs w:val="24"/>
          <w:u w:val="single"/>
        </w:rPr>
        <w:t xml:space="preserve">). </w:t>
      </w:r>
    </w:p>
    <w:p w:rsidR="008123A7" w:rsidRPr="00E74460" w:rsidRDefault="008123A7" w:rsidP="00716C22">
      <w:pPr>
        <w:pStyle w:val="af1"/>
        <w:overflowPunct w:val="0"/>
        <w:autoSpaceDE w:val="0"/>
        <w:autoSpaceDN w:val="0"/>
        <w:adjustRightInd w:val="0"/>
        <w:spacing w:before="120" w:after="120"/>
        <w:contextualSpacing w:val="0"/>
        <w:jc w:val="both"/>
        <w:rPr>
          <w:rFonts w:ascii="Times New Roman" w:hAnsi="Times New Roman"/>
          <w:b/>
          <w:sz w:val="24"/>
          <w:szCs w:val="24"/>
          <w:u w:val="single"/>
        </w:rPr>
      </w:pPr>
    </w:p>
    <w:p w:rsidR="00F7254D" w:rsidRDefault="00BF3744" w:rsidP="008123A7">
      <w:pPr>
        <w:pStyle w:val="1"/>
        <w:keepLines w:val="0"/>
        <w:numPr>
          <w:ilvl w:val="0"/>
          <w:numId w:val="24"/>
        </w:numPr>
        <w:overflowPunct w:val="0"/>
        <w:autoSpaceDE w:val="0"/>
        <w:autoSpaceDN w:val="0"/>
        <w:adjustRightInd w:val="0"/>
        <w:spacing w:before="120" w:after="120"/>
        <w:jc w:val="both"/>
        <w:textAlignment w:val="baseline"/>
        <w:rPr>
          <w:rFonts w:ascii="Times New Roman" w:hAnsi="Times New Roman" w:cs="Times New Roman"/>
          <w:color w:val="auto"/>
          <w:sz w:val="24"/>
          <w:szCs w:val="24"/>
        </w:rPr>
      </w:pPr>
      <w:r w:rsidRPr="00E74460">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8123A7" w:rsidRDefault="008123A7" w:rsidP="008123A7">
      <w:pPr>
        <w:pStyle w:val="af1"/>
        <w:numPr>
          <w:ilvl w:val="1"/>
          <w:numId w:val="23"/>
        </w:numPr>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047CF5">
        <w:rPr>
          <w:rFonts w:ascii="Times New Roman" w:hAnsi="Times New Roman"/>
          <w:sz w:val="24"/>
          <w:szCs w:val="24"/>
        </w:rPr>
        <w:t>Заполнение таблицы (Приложение № 1) к данному Извещению.</w:t>
      </w:r>
    </w:p>
    <w:p w:rsidR="008123A7" w:rsidRPr="008123A7" w:rsidRDefault="008123A7" w:rsidP="008123A7">
      <w:pPr>
        <w:pStyle w:val="af1"/>
        <w:ind w:left="1068"/>
        <w:rPr>
          <w:rFonts w:ascii="Times New Roman" w:hAnsi="Times New Roman"/>
          <w:sz w:val="24"/>
          <w:szCs w:val="24"/>
        </w:rPr>
      </w:pPr>
    </w:p>
    <w:p w:rsidR="00E83B49" w:rsidRPr="00E74460" w:rsidRDefault="00BF3744" w:rsidP="008123A7">
      <w:pPr>
        <w:pStyle w:val="af1"/>
        <w:numPr>
          <w:ilvl w:val="1"/>
          <w:numId w:val="23"/>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 xml:space="preserve">Полное наименование компании, организационно-правовая форма, место и дата регистрации, юридический и почтовый адрес, полные банковские </w:t>
      </w:r>
      <w:r w:rsidR="005778B1" w:rsidRPr="00E74460">
        <w:rPr>
          <w:rFonts w:ascii="Times New Roman" w:hAnsi="Times New Roman"/>
          <w:sz w:val="24"/>
          <w:szCs w:val="24"/>
        </w:rPr>
        <w:t>реквизиты, контактные</w:t>
      </w:r>
      <w:r w:rsidRPr="00E74460">
        <w:rPr>
          <w:rFonts w:ascii="Times New Roman" w:hAnsi="Times New Roman"/>
          <w:sz w:val="24"/>
          <w:szCs w:val="24"/>
        </w:rPr>
        <w:t xml:space="preserve"> телефоны, адрес электронной почты;</w:t>
      </w:r>
    </w:p>
    <w:p w:rsidR="00BF3744" w:rsidRPr="00E74460" w:rsidRDefault="00BF3744" w:rsidP="008123A7">
      <w:pPr>
        <w:pStyle w:val="af1"/>
        <w:numPr>
          <w:ilvl w:val="1"/>
          <w:numId w:val="23"/>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Сведения о соответствии требованиям, предъявляемым к участникам тендера;</w:t>
      </w:r>
    </w:p>
    <w:p w:rsidR="00BF3744" w:rsidRPr="00E74460" w:rsidRDefault="00BF3744" w:rsidP="008123A7">
      <w:pPr>
        <w:pStyle w:val="af1"/>
        <w:numPr>
          <w:ilvl w:val="1"/>
          <w:numId w:val="23"/>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Сведения о наличии лицензий, необходимых для выполнения работ</w:t>
      </w:r>
      <w:r w:rsidR="008E5DEE" w:rsidRPr="00E74460">
        <w:rPr>
          <w:rFonts w:ascii="Times New Roman" w:hAnsi="Times New Roman"/>
          <w:sz w:val="24"/>
          <w:szCs w:val="24"/>
        </w:rPr>
        <w:t xml:space="preserve"> (при необходимости)</w:t>
      </w:r>
      <w:r w:rsidRPr="00E74460">
        <w:rPr>
          <w:rFonts w:ascii="Times New Roman" w:hAnsi="Times New Roman"/>
          <w:sz w:val="24"/>
          <w:szCs w:val="24"/>
        </w:rPr>
        <w:t>;</w:t>
      </w:r>
    </w:p>
    <w:p w:rsidR="00BF3744" w:rsidRPr="00E74460" w:rsidRDefault="00BF3744" w:rsidP="008123A7">
      <w:pPr>
        <w:pStyle w:val="af1"/>
        <w:numPr>
          <w:ilvl w:val="1"/>
          <w:numId w:val="23"/>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lastRenderedPageBreak/>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BF3744" w:rsidRPr="00E74460" w:rsidRDefault="00BF3744" w:rsidP="008123A7">
      <w:pPr>
        <w:pStyle w:val="af1"/>
        <w:numPr>
          <w:ilvl w:val="1"/>
          <w:numId w:val="23"/>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Предоставление сведений о наличии в штате Общества работников, аффилированных компаний;</w:t>
      </w:r>
    </w:p>
    <w:p w:rsidR="00BF3744" w:rsidRPr="00E74460" w:rsidRDefault="00BF3744" w:rsidP="00DB3945">
      <w:pPr>
        <w:pStyle w:val="af1"/>
        <w:numPr>
          <w:ilvl w:val="1"/>
          <w:numId w:val="23"/>
        </w:numPr>
        <w:overflowPunct w:val="0"/>
        <w:autoSpaceDE w:val="0"/>
        <w:autoSpaceDN w:val="0"/>
        <w:adjustRightInd w:val="0"/>
        <w:spacing w:before="120" w:after="120"/>
        <w:contextualSpacing w:val="0"/>
        <w:jc w:val="both"/>
        <w:rPr>
          <w:rFonts w:ascii="Times New Roman" w:hAnsi="Times New Roman"/>
          <w:sz w:val="24"/>
          <w:szCs w:val="24"/>
        </w:rPr>
      </w:pPr>
      <w:r w:rsidRPr="00E74460">
        <w:rPr>
          <w:rFonts w:ascii="Times New Roman" w:hAnsi="Times New Roman"/>
          <w:sz w:val="24"/>
          <w:szCs w:val="24"/>
        </w:rPr>
        <w:t>Указание следующих фактов:</w:t>
      </w:r>
    </w:p>
    <w:p w:rsidR="00BF3744" w:rsidRPr="00E74460" w:rsidRDefault="00BF3744" w:rsidP="00716C22">
      <w:pPr>
        <w:overflowPunct w:val="0"/>
        <w:autoSpaceDE w:val="0"/>
        <w:autoSpaceDN w:val="0"/>
        <w:adjustRightInd w:val="0"/>
        <w:spacing w:before="120" w:after="120"/>
        <w:jc w:val="both"/>
        <w:rPr>
          <w:rFonts w:ascii="Times New Roman" w:hAnsi="Times New Roman"/>
          <w:sz w:val="24"/>
          <w:szCs w:val="24"/>
        </w:rPr>
      </w:pPr>
      <w:r w:rsidRPr="00E74460">
        <w:rPr>
          <w:rFonts w:ascii="Times New Roman" w:hAnsi="Times New Roman"/>
          <w:sz w:val="24"/>
          <w:szCs w:val="24"/>
        </w:rPr>
        <w:t>- является ли участник представителем (агентом) другой компании в данном конкурсе;</w:t>
      </w:r>
    </w:p>
    <w:p w:rsidR="00726F7E" w:rsidRPr="00E74460" w:rsidRDefault="00BF3744" w:rsidP="00716C22">
      <w:pPr>
        <w:overflowPunct w:val="0"/>
        <w:autoSpaceDE w:val="0"/>
        <w:autoSpaceDN w:val="0"/>
        <w:adjustRightInd w:val="0"/>
        <w:spacing w:before="120" w:after="120"/>
        <w:jc w:val="both"/>
        <w:rPr>
          <w:rFonts w:ascii="Times New Roman" w:hAnsi="Times New Roman"/>
          <w:sz w:val="24"/>
          <w:szCs w:val="24"/>
        </w:rPr>
      </w:pPr>
      <w:r w:rsidRPr="00E74460">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r w:rsidR="005D28D9">
        <w:rPr>
          <w:rFonts w:ascii="Times New Roman" w:hAnsi="Times New Roman"/>
          <w:sz w:val="24"/>
          <w:szCs w:val="24"/>
        </w:rPr>
        <w:t>, а также приложить лицензии на осуществление деятельности, если таковые требуются</w:t>
      </w:r>
      <w:r w:rsidRPr="00E74460">
        <w:rPr>
          <w:rFonts w:ascii="Times New Roman" w:hAnsi="Times New Roman"/>
          <w:sz w:val="24"/>
          <w:szCs w:val="24"/>
        </w:rPr>
        <w:t>).</w:t>
      </w:r>
    </w:p>
    <w:p w:rsidR="00716C22" w:rsidRPr="00E74460" w:rsidRDefault="00716C22" w:rsidP="00716C22">
      <w:pPr>
        <w:overflowPunct w:val="0"/>
        <w:autoSpaceDE w:val="0"/>
        <w:autoSpaceDN w:val="0"/>
        <w:adjustRightInd w:val="0"/>
        <w:spacing w:before="120" w:after="120"/>
        <w:jc w:val="both"/>
        <w:rPr>
          <w:rFonts w:ascii="Times New Roman" w:hAnsi="Times New Roman"/>
          <w:sz w:val="24"/>
          <w:szCs w:val="24"/>
        </w:rPr>
      </w:pPr>
    </w:p>
    <w:p w:rsidR="00F7254D" w:rsidRPr="00E74460" w:rsidRDefault="00BF3744" w:rsidP="00DB3945">
      <w:pPr>
        <w:pStyle w:val="1"/>
        <w:keepLines w:val="0"/>
        <w:numPr>
          <w:ilvl w:val="0"/>
          <w:numId w:val="26"/>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74460">
        <w:rPr>
          <w:rFonts w:ascii="Times New Roman" w:hAnsi="Times New Roman" w:cs="Times New Roman"/>
          <w:color w:val="auto"/>
          <w:sz w:val="24"/>
          <w:szCs w:val="24"/>
        </w:rPr>
        <w:t>Прочие условия</w:t>
      </w:r>
    </w:p>
    <w:p w:rsidR="00BF3744" w:rsidRPr="00E74460" w:rsidRDefault="00BF3744" w:rsidP="00716C22">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E74460">
        <w:rPr>
          <w:rFonts w:ascii="Times New Roman" w:hAnsi="Times New Roman"/>
          <w:sz w:val="24"/>
          <w:szCs w:val="24"/>
        </w:rPr>
        <w:t>Срок действия услови</w:t>
      </w:r>
      <w:r w:rsidR="00403F99" w:rsidRPr="00E74460">
        <w:rPr>
          <w:rFonts w:ascii="Times New Roman" w:hAnsi="Times New Roman"/>
          <w:sz w:val="24"/>
          <w:szCs w:val="24"/>
        </w:rPr>
        <w:t>й</w:t>
      </w:r>
      <w:r w:rsidRPr="00E74460">
        <w:rPr>
          <w:rFonts w:ascii="Times New Roman" w:hAnsi="Times New Roman"/>
          <w:sz w:val="24"/>
          <w:szCs w:val="24"/>
        </w:rPr>
        <w:t xml:space="preserve"> коммерческ</w:t>
      </w:r>
      <w:r w:rsidR="00403F99" w:rsidRPr="00E74460">
        <w:rPr>
          <w:rFonts w:ascii="Times New Roman" w:hAnsi="Times New Roman"/>
          <w:sz w:val="24"/>
          <w:szCs w:val="24"/>
        </w:rPr>
        <w:t>ого</w:t>
      </w:r>
      <w:r w:rsidRPr="00E74460">
        <w:rPr>
          <w:rFonts w:ascii="Times New Roman" w:hAnsi="Times New Roman"/>
          <w:sz w:val="24"/>
          <w:szCs w:val="24"/>
        </w:rPr>
        <w:t xml:space="preserve"> предложени</w:t>
      </w:r>
      <w:r w:rsidR="00403F99" w:rsidRPr="00E74460">
        <w:rPr>
          <w:rFonts w:ascii="Times New Roman" w:hAnsi="Times New Roman"/>
          <w:sz w:val="24"/>
          <w:szCs w:val="24"/>
        </w:rPr>
        <w:t>я</w:t>
      </w:r>
      <w:r w:rsidRPr="00E74460">
        <w:rPr>
          <w:rFonts w:ascii="Times New Roman" w:hAnsi="Times New Roman"/>
          <w:sz w:val="24"/>
          <w:szCs w:val="24"/>
        </w:rPr>
        <w:t xml:space="preserve"> </w:t>
      </w:r>
      <w:r w:rsidR="00403F99" w:rsidRPr="00E74460">
        <w:rPr>
          <w:rFonts w:ascii="Times New Roman" w:hAnsi="Times New Roman"/>
          <w:sz w:val="24"/>
          <w:szCs w:val="24"/>
        </w:rPr>
        <w:t>- до</w:t>
      </w:r>
      <w:r w:rsidRPr="00E74460">
        <w:rPr>
          <w:rFonts w:ascii="Times New Roman" w:hAnsi="Times New Roman"/>
          <w:sz w:val="24"/>
          <w:szCs w:val="24"/>
        </w:rPr>
        <w:t xml:space="preserve"> заключения договора</w:t>
      </w:r>
      <w:r w:rsidR="00403F99" w:rsidRPr="00E74460">
        <w:rPr>
          <w:rFonts w:ascii="Times New Roman" w:hAnsi="Times New Roman"/>
          <w:sz w:val="24"/>
          <w:szCs w:val="24"/>
        </w:rPr>
        <w:t>.</w:t>
      </w:r>
    </w:p>
    <w:p w:rsidR="00BF3744" w:rsidRPr="00E74460" w:rsidRDefault="00BF3744" w:rsidP="00716C22">
      <w:pPr>
        <w:pStyle w:val="af1"/>
        <w:numPr>
          <w:ilvl w:val="0"/>
          <w:numId w:val="21"/>
        </w:numPr>
        <w:overflowPunct w:val="0"/>
        <w:autoSpaceDE w:val="0"/>
        <w:autoSpaceDN w:val="0"/>
        <w:adjustRightInd w:val="0"/>
        <w:spacing w:before="120" w:after="120"/>
        <w:ind w:hanging="720"/>
        <w:contextualSpacing w:val="0"/>
        <w:jc w:val="both"/>
        <w:rPr>
          <w:rFonts w:ascii="Times New Roman" w:hAnsi="Times New Roman"/>
          <w:sz w:val="24"/>
          <w:szCs w:val="24"/>
        </w:rPr>
      </w:pPr>
      <w:r w:rsidRPr="00E74460">
        <w:rPr>
          <w:rFonts w:ascii="Times New Roman" w:hAnsi="Times New Roman"/>
          <w:sz w:val="24"/>
          <w:szCs w:val="24"/>
        </w:rPr>
        <w:t xml:space="preserve">Объявление об итогах конкурса, содержащее, в случае признания его состоявшимся, наименование Победителя конкурса, будет размещено на </w:t>
      </w:r>
      <w:r w:rsidR="00E27A56" w:rsidRPr="00E74460">
        <w:rPr>
          <w:rFonts w:ascii="Times New Roman" w:hAnsi="Times New Roman"/>
          <w:sz w:val="24"/>
          <w:szCs w:val="24"/>
        </w:rPr>
        <w:t>электронной торговой площадке.</w:t>
      </w:r>
    </w:p>
    <w:p w:rsidR="00BF3744" w:rsidRPr="00BA7D2E" w:rsidRDefault="00BF3744" w:rsidP="00716C22">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E74460">
        <w:rPr>
          <w:rFonts w:ascii="Times New Roman" w:hAnsi="Times New Roman"/>
          <w:sz w:val="24"/>
          <w:szCs w:val="24"/>
        </w:rPr>
        <w:t xml:space="preserve">Запрос предложений не является конкурсом или аукционом в смысле, предусмотренном Гражданским кодексом Российской Федерации. Проведение этой процедуры не регулируется статьями 447 – 449 части первой Гражданского кодекса Российской Федерации, и не регулируется статьями 1057 – 1061 части второй Гражданского кодекса Российской Федерации. Таким образом, </w:t>
      </w:r>
      <w:r w:rsidRPr="00BA7D2E">
        <w:rPr>
          <w:rFonts w:ascii="Times New Roman" w:hAnsi="Times New Roman"/>
          <w:sz w:val="24"/>
          <w:szCs w:val="24"/>
        </w:rPr>
        <w:t>данная процедура запроса предложений не накладывает на Общество гражданско-правовых обязательств, предусмотренных данными статьями.</w:t>
      </w:r>
    </w:p>
    <w:p w:rsidR="00BF3744" w:rsidRPr="00E74460" w:rsidRDefault="00BF3744" w:rsidP="00716C22">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E74460">
        <w:rPr>
          <w:rFonts w:ascii="Times New Roman" w:hAnsi="Times New Roman"/>
          <w:sz w:val="24"/>
          <w:szCs w:val="24"/>
        </w:rPr>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BF3744" w:rsidRPr="00E74460" w:rsidRDefault="00BF3744" w:rsidP="00BF3744">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E74460">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BF3744" w:rsidRPr="00E74460" w:rsidRDefault="00BF3744" w:rsidP="00BF3744">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E74460">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BF3744" w:rsidRPr="00E74460" w:rsidRDefault="00BF3744" w:rsidP="00BF3744">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E74460">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BF3744" w:rsidRPr="00E74460" w:rsidRDefault="00BF3744" w:rsidP="00BF3744">
      <w:pPr>
        <w:pStyle w:val="af1"/>
        <w:numPr>
          <w:ilvl w:val="0"/>
          <w:numId w:val="21"/>
        </w:numPr>
        <w:overflowPunct w:val="0"/>
        <w:autoSpaceDE w:val="0"/>
        <w:autoSpaceDN w:val="0"/>
        <w:adjustRightInd w:val="0"/>
        <w:ind w:left="0" w:firstLine="0"/>
        <w:contextualSpacing w:val="0"/>
        <w:jc w:val="both"/>
        <w:rPr>
          <w:rFonts w:ascii="Times New Roman" w:hAnsi="Times New Roman"/>
          <w:sz w:val="24"/>
          <w:szCs w:val="24"/>
        </w:rPr>
      </w:pPr>
      <w:r w:rsidRPr="00E74460">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403F99" w:rsidRDefault="00403F99" w:rsidP="00403F99">
      <w:pPr>
        <w:overflowPunct w:val="0"/>
        <w:autoSpaceDE w:val="0"/>
        <w:autoSpaceDN w:val="0"/>
        <w:adjustRightInd w:val="0"/>
        <w:jc w:val="both"/>
        <w:rPr>
          <w:rFonts w:ascii="Times New Roman" w:hAnsi="Times New Roman"/>
          <w:sz w:val="24"/>
          <w:szCs w:val="24"/>
        </w:rPr>
      </w:pPr>
    </w:p>
    <w:p w:rsidR="008123C2" w:rsidRPr="00E74460" w:rsidRDefault="008123C2" w:rsidP="00403F99">
      <w:pPr>
        <w:overflowPunct w:val="0"/>
        <w:autoSpaceDE w:val="0"/>
        <w:autoSpaceDN w:val="0"/>
        <w:adjustRightInd w:val="0"/>
        <w:jc w:val="both"/>
        <w:rPr>
          <w:rFonts w:ascii="Times New Roman" w:hAnsi="Times New Roman"/>
          <w:sz w:val="24"/>
          <w:szCs w:val="24"/>
        </w:rPr>
      </w:pPr>
      <w:bookmarkStart w:id="0" w:name="_GoBack"/>
      <w:bookmarkEnd w:id="0"/>
    </w:p>
    <w:p w:rsidR="00403F99" w:rsidRPr="00E74460" w:rsidRDefault="00684368" w:rsidP="00BF3744">
      <w:pPr>
        <w:jc w:val="both"/>
        <w:rPr>
          <w:rFonts w:ascii="Times New Roman" w:hAnsi="Times New Roman"/>
          <w:sz w:val="24"/>
          <w:szCs w:val="24"/>
        </w:rPr>
      </w:pPr>
      <w:r w:rsidRPr="00E74460">
        <w:rPr>
          <w:rFonts w:ascii="Times New Roman" w:hAnsi="Times New Roman"/>
          <w:sz w:val="24"/>
          <w:szCs w:val="24"/>
        </w:rPr>
        <w:t>Приложение № 1_Техническое задание</w:t>
      </w:r>
    </w:p>
    <w:p w:rsidR="00BF3744" w:rsidRPr="00E74460" w:rsidRDefault="00BF3744" w:rsidP="00BF3744">
      <w:pPr>
        <w:jc w:val="both"/>
        <w:rPr>
          <w:rFonts w:ascii="Times New Roman" w:hAnsi="Times New Roman"/>
          <w:sz w:val="24"/>
          <w:szCs w:val="24"/>
        </w:rPr>
      </w:pPr>
    </w:p>
    <w:p w:rsidR="00DB3945" w:rsidRPr="00EE1304" w:rsidRDefault="00DB3945" w:rsidP="00DB3945">
      <w:pPr>
        <w:jc w:val="both"/>
        <w:rPr>
          <w:rFonts w:ascii="Times New Roman" w:hAnsi="Times New Roman"/>
          <w:color w:val="FF0000"/>
          <w:sz w:val="24"/>
          <w:szCs w:val="24"/>
        </w:rPr>
      </w:pPr>
      <w:r>
        <w:rPr>
          <w:rFonts w:ascii="Times New Roman" w:hAnsi="Times New Roman"/>
          <w:b/>
          <w:sz w:val="24"/>
          <w:szCs w:val="24"/>
        </w:rPr>
        <w:t xml:space="preserve">Секретарь Тендерного </w:t>
      </w:r>
      <w:proofErr w:type="gramStart"/>
      <w:r w:rsidR="004B4B2A">
        <w:rPr>
          <w:rFonts w:ascii="Times New Roman" w:hAnsi="Times New Roman"/>
          <w:b/>
          <w:sz w:val="24"/>
          <w:szCs w:val="24"/>
        </w:rPr>
        <w:t xml:space="preserve">комитета:  </w:t>
      </w:r>
      <w:r>
        <w:rPr>
          <w:rFonts w:ascii="Times New Roman" w:hAnsi="Times New Roman"/>
          <w:b/>
          <w:sz w:val="24"/>
          <w:szCs w:val="24"/>
        </w:rPr>
        <w:t xml:space="preserve"> </w:t>
      </w:r>
      <w:proofErr w:type="gramEnd"/>
      <w:r>
        <w:rPr>
          <w:rFonts w:ascii="Times New Roman" w:hAnsi="Times New Roman"/>
          <w:b/>
          <w:sz w:val="24"/>
          <w:szCs w:val="24"/>
        </w:rPr>
        <w:t xml:space="preserve">                  </w:t>
      </w:r>
      <w:r w:rsidR="00A1212F" w:rsidRPr="00A97E17">
        <w:rPr>
          <w:rFonts w:ascii="Times New Roman" w:hAnsi="Times New Roman"/>
          <w:b/>
          <w:sz w:val="24"/>
          <w:szCs w:val="24"/>
        </w:rPr>
        <w:t>ЭЦП</w:t>
      </w:r>
      <w:r w:rsidRPr="00A97E17">
        <w:rPr>
          <w:rFonts w:ascii="Times New Roman" w:hAnsi="Times New Roman"/>
          <w:b/>
          <w:sz w:val="24"/>
          <w:szCs w:val="24"/>
        </w:rPr>
        <w:t xml:space="preserve">                                   </w:t>
      </w:r>
      <w:r w:rsidR="006A4A8D" w:rsidRPr="00A97E17">
        <w:rPr>
          <w:rFonts w:ascii="Times New Roman" w:hAnsi="Times New Roman"/>
          <w:b/>
          <w:sz w:val="24"/>
          <w:szCs w:val="24"/>
        </w:rPr>
        <w:t>Ю.В. Мягкова</w:t>
      </w:r>
    </w:p>
    <w:p w:rsidR="00D470FF" w:rsidRPr="00E74460" w:rsidRDefault="00D470FF" w:rsidP="00BF3744">
      <w:pPr>
        <w:jc w:val="both"/>
        <w:rPr>
          <w:rFonts w:ascii="Times New Roman" w:hAnsi="Times New Roman"/>
          <w:sz w:val="24"/>
          <w:szCs w:val="24"/>
        </w:rPr>
      </w:pPr>
    </w:p>
    <w:sectPr w:rsidR="00D470FF" w:rsidRPr="00E74460" w:rsidSect="00F7254D">
      <w:headerReference w:type="default" r:id="rId11"/>
      <w:footerReference w:type="default" r:id="rId12"/>
      <w:headerReference w:type="first" r:id="rId13"/>
      <w:footerReference w:type="first" r:id="rId14"/>
      <w:pgSz w:w="11906" w:h="16838" w:code="9"/>
      <w:pgMar w:top="1134" w:right="850" w:bottom="1134"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FF" w:rsidRPr="005D4F76" w:rsidRDefault="000E26FF" w:rsidP="005D4F76">
      <w:r>
        <w:separator/>
      </w:r>
    </w:p>
  </w:endnote>
  <w:endnote w:type="continuationSeparator" w:id="0">
    <w:p w:rsidR="000E26FF" w:rsidRPr="005D4F76" w:rsidRDefault="000E26FF"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 xml:space="preserve">Исполнитель: </w:t>
    </w:r>
    <w:r w:rsidR="006A4A8D">
      <w:t>Мягкова Ю.В.</w:t>
    </w:r>
    <w:r>
      <w:rPr>
        <w:noProof/>
      </w:rPr>
      <w:t xml:space="preserve"> </w:t>
    </w:r>
  </w:p>
  <w:p w:rsidR="002E786C" w:rsidRPr="00EC31D0" w:rsidRDefault="002E786C" w:rsidP="002E786C">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2E786C" w:rsidRPr="002E786C" w:rsidRDefault="002E786C" w:rsidP="002E78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45" w:rsidRDefault="00DB3945" w:rsidP="00DB3945">
    <w:pPr>
      <w:pStyle w:val="a8"/>
    </w:pPr>
    <w:r>
      <w:t xml:space="preserve">Исполнитель: </w:t>
    </w:r>
    <w:r w:rsidR="005B45CD">
      <w:t>Мягкова Ю.В.</w:t>
    </w:r>
    <w:r>
      <w:rPr>
        <w:noProof/>
      </w:rPr>
      <w:t xml:space="preserve"> </w:t>
    </w:r>
  </w:p>
  <w:p w:rsidR="00DB3945" w:rsidRPr="00EC31D0" w:rsidRDefault="00DB3945" w:rsidP="00DB3945">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DB3945" w:rsidRDefault="00DB39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FF" w:rsidRPr="005D4F76" w:rsidRDefault="000E26FF" w:rsidP="005D4F76">
      <w:r>
        <w:separator/>
      </w:r>
    </w:p>
  </w:footnote>
  <w:footnote w:type="continuationSeparator" w:id="0">
    <w:p w:rsidR="000E26FF" w:rsidRPr="005D4F76" w:rsidRDefault="000E26FF"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896"/>
      <w:gridCol w:w="4459"/>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52B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01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CC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FCD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6D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B05879"/>
    <w:multiLevelType w:val="hybridMultilevel"/>
    <w:tmpl w:val="C414B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3" w15:restartNumberingAfterBreak="0">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380C8E"/>
    <w:multiLevelType w:val="hybridMultilevel"/>
    <w:tmpl w:val="B26666A4"/>
    <w:lvl w:ilvl="0" w:tplc="FE2ED6D6">
      <w:start w:val="1"/>
      <w:numFmt w:val="decimal"/>
      <w:lvlText w:val="%1."/>
      <w:lvlJc w:val="left"/>
      <w:pPr>
        <w:ind w:left="720" w:hanging="360"/>
      </w:pPr>
      <w:rPr>
        <w:color w:val="auto"/>
        <w:sz w:val="22"/>
        <w:szCs w:val="22"/>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3A071F"/>
    <w:multiLevelType w:val="hybridMultilevel"/>
    <w:tmpl w:val="5810E3BE"/>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E7640A"/>
    <w:multiLevelType w:val="multilevel"/>
    <w:tmpl w:val="B94AFD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9" w15:restartNumberingAfterBreak="0">
    <w:nsid w:val="50337F72"/>
    <w:multiLevelType w:val="multilevel"/>
    <w:tmpl w:val="8E46AE1A"/>
    <w:lvl w:ilvl="0">
      <w:start w:val="1"/>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21" w15:restartNumberingAfterBreak="0">
    <w:nsid w:val="54AD44D4"/>
    <w:multiLevelType w:val="multilevel"/>
    <w:tmpl w:val="F1D28B8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2F2CD4"/>
    <w:multiLevelType w:val="hybridMultilevel"/>
    <w:tmpl w:val="1916D90C"/>
    <w:lvl w:ilvl="0" w:tplc="FA2AE910">
      <w:start w:val="1"/>
      <w:numFmt w:val="bullet"/>
      <w:lvlText w:val=""/>
      <w:lvlJc w:val="left"/>
      <w:pPr>
        <w:ind w:left="143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011DD0"/>
    <w:multiLevelType w:val="multilevel"/>
    <w:tmpl w:val="B94AFD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F183F7E"/>
    <w:multiLevelType w:val="multilevel"/>
    <w:tmpl w:val="E0D87F4C"/>
    <w:lvl w:ilvl="0">
      <w:start w:val="1"/>
      <w:numFmt w:val="decimal"/>
      <w:lvlText w:val="%1."/>
      <w:lvlJc w:val="left"/>
      <w:pPr>
        <w:ind w:left="1069" w:hanging="360"/>
      </w:pPr>
      <w:rPr>
        <w:rFonts w:hint="default"/>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4"/>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25"/>
  </w:num>
  <w:num w:numId="18">
    <w:abstractNumId w:val="15"/>
  </w:num>
  <w:num w:numId="19">
    <w:abstractNumId w:val="21"/>
  </w:num>
  <w:num w:numId="20">
    <w:abstractNumId w:val="10"/>
  </w:num>
  <w:num w:numId="21">
    <w:abstractNumId w:val="13"/>
  </w:num>
  <w:num w:numId="22">
    <w:abstractNumId w:val="24"/>
  </w:num>
  <w:num w:numId="23">
    <w:abstractNumId w:val="23"/>
  </w:num>
  <w:num w:numId="24">
    <w:abstractNumId w:val="19"/>
  </w:num>
  <w:num w:numId="25">
    <w:abstractNumId w:val="17"/>
  </w:num>
  <w:num w:numId="26">
    <w:abstractNumId w:val="16"/>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FF"/>
    <w:rsid w:val="00001F0C"/>
    <w:rsid w:val="0000676D"/>
    <w:rsid w:val="00036577"/>
    <w:rsid w:val="000B376C"/>
    <w:rsid w:val="000E26FF"/>
    <w:rsid w:val="000F6F2E"/>
    <w:rsid w:val="001036E1"/>
    <w:rsid w:val="001051E0"/>
    <w:rsid w:val="00112805"/>
    <w:rsid w:val="0011364A"/>
    <w:rsid w:val="00115B03"/>
    <w:rsid w:val="001333D8"/>
    <w:rsid w:val="001407E0"/>
    <w:rsid w:val="00162FFE"/>
    <w:rsid w:val="00164770"/>
    <w:rsid w:val="00196A37"/>
    <w:rsid w:val="001A37F2"/>
    <w:rsid w:val="001C3CB5"/>
    <w:rsid w:val="00201776"/>
    <w:rsid w:val="00211C63"/>
    <w:rsid w:val="002452B5"/>
    <w:rsid w:val="00260D40"/>
    <w:rsid w:val="002617EE"/>
    <w:rsid w:val="00262BB2"/>
    <w:rsid w:val="00295126"/>
    <w:rsid w:val="002972C1"/>
    <w:rsid w:val="002B486B"/>
    <w:rsid w:val="002C6999"/>
    <w:rsid w:val="002D0F40"/>
    <w:rsid w:val="002E7387"/>
    <w:rsid w:val="002E786C"/>
    <w:rsid w:val="002F146D"/>
    <w:rsid w:val="00315990"/>
    <w:rsid w:val="00325495"/>
    <w:rsid w:val="00341A9D"/>
    <w:rsid w:val="0034280D"/>
    <w:rsid w:val="00355BA7"/>
    <w:rsid w:val="0037391E"/>
    <w:rsid w:val="0038295E"/>
    <w:rsid w:val="00397E99"/>
    <w:rsid w:val="003A5D9E"/>
    <w:rsid w:val="003A7C88"/>
    <w:rsid w:val="003D18FF"/>
    <w:rsid w:val="00402570"/>
    <w:rsid w:val="00403F99"/>
    <w:rsid w:val="00411F64"/>
    <w:rsid w:val="00417502"/>
    <w:rsid w:val="00437770"/>
    <w:rsid w:val="00440007"/>
    <w:rsid w:val="00457ED4"/>
    <w:rsid w:val="00476673"/>
    <w:rsid w:val="004B4B2A"/>
    <w:rsid w:val="00517508"/>
    <w:rsid w:val="005402DF"/>
    <w:rsid w:val="005617B4"/>
    <w:rsid w:val="00565CF8"/>
    <w:rsid w:val="005778B1"/>
    <w:rsid w:val="00584147"/>
    <w:rsid w:val="005A4467"/>
    <w:rsid w:val="005B45CD"/>
    <w:rsid w:val="005C15FE"/>
    <w:rsid w:val="005D28D9"/>
    <w:rsid w:val="005D4F76"/>
    <w:rsid w:val="0060071A"/>
    <w:rsid w:val="006622A1"/>
    <w:rsid w:val="006774AB"/>
    <w:rsid w:val="00684368"/>
    <w:rsid w:val="00694F31"/>
    <w:rsid w:val="0069505E"/>
    <w:rsid w:val="006A25F1"/>
    <w:rsid w:val="006A4A8D"/>
    <w:rsid w:val="00716C22"/>
    <w:rsid w:val="00726F7E"/>
    <w:rsid w:val="00751F90"/>
    <w:rsid w:val="007C78E0"/>
    <w:rsid w:val="008123A7"/>
    <w:rsid w:val="008123C2"/>
    <w:rsid w:val="008276EC"/>
    <w:rsid w:val="00844E0D"/>
    <w:rsid w:val="00847D83"/>
    <w:rsid w:val="0088717E"/>
    <w:rsid w:val="008D4CF4"/>
    <w:rsid w:val="008E5DEE"/>
    <w:rsid w:val="008F5306"/>
    <w:rsid w:val="009008BD"/>
    <w:rsid w:val="00966192"/>
    <w:rsid w:val="0096636E"/>
    <w:rsid w:val="009900B1"/>
    <w:rsid w:val="009A44A1"/>
    <w:rsid w:val="009B696B"/>
    <w:rsid w:val="00A11348"/>
    <w:rsid w:val="00A11D39"/>
    <w:rsid w:val="00A1212F"/>
    <w:rsid w:val="00A325C3"/>
    <w:rsid w:val="00A82A4F"/>
    <w:rsid w:val="00A874FA"/>
    <w:rsid w:val="00A93177"/>
    <w:rsid w:val="00A97E17"/>
    <w:rsid w:val="00AA3928"/>
    <w:rsid w:val="00AA7EE4"/>
    <w:rsid w:val="00AB150C"/>
    <w:rsid w:val="00B2064F"/>
    <w:rsid w:val="00B21E6D"/>
    <w:rsid w:val="00B30D6F"/>
    <w:rsid w:val="00B37AC3"/>
    <w:rsid w:val="00B62894"/>
    <w:rsid w:val="00B76A2F"/>
    <w:rsid w:val="00B77C35"/>
    <w:rsid w:val="00B910EA"/>
    <w:rsid w:val="00BA7D2E"/>
    <w:rsid w:val="00BE0D6A"/>
    <w:rsid w:val="00BF2E41"/>
    <w:rsid w:val="00BF3744"/>
    <w:rsid w:val="00C15426"/>
    <w:rsid w:val="00C66438"/>
    <w:rsid w:val="00C92E67"/>
    <w:rsid w:val="00CA6BDB"/>
    <w:rsid w:val="00CB3E0B"/>
    <w:rsid w:val="00CD0D2E"/>
    <w:rsid w:val="00CD33BC"/>
    <w:rsid w:val="00D11DB5"/>
    <w:rsid w:val="00D25EC2"/>
    <w:rsid w:val="00D371F0"/>
    <w:rsid w:val="00D470FF"/>
    <w:rsid w:val="00D61112"/>
    <w:rsid w:val="00D75994"/>
    <w:rsid w:val="00D77B57"/>
    <w:rsid w:val="00D86049"/>
    <w:rsid w:val="00DB3945"/>
    <w:rsid w:val="00DC0A3E"/>
    <w:rsid w:val="00DD4BEF"/>
    <w:rsid w:val="00DF41C7"/>
    <w:rsid w:val="00E00343"/>
    <w:rsid w:val="00E1498B"/>
    <w:rsid w:val="00E15072"/>
    <w:rsid w:val="00E17592"/>
    <w:rsid w:val="00E275F5"/>
    <w:rsid w:val="00E27A56"/>
    <w:rsid w:val="00E36EB6"/>
    <w:rsid w:val="00E44A2B"/>
    <w:rsid w:val="00E63BF9"/>
    <w:rsid w:val="00E74460"/>
    <w:rsid w:val="00E81813"/>
    <w:rsid w:val="00E83B49"/>
    <w:rsid w:val="00E8617D"/>
    <w:rsid w:val="00E94227"/>
    <w:rsid w:val="00EC11A6"/>
    <w:rsid w:val="00EC31D0"/>
    <w:rsid w:val="00EE1304"/>
    <w:rsid w:val="00EF2188"/>
    <w:rsid w:val="00F202A9"/>
    <w:rsid w:val="00F21AAA"/>
    <w:rsid w:val="00F24830"/>
    <w:rsid w:val="00F31764"/>
    <w:rsid w:val="00F7254D"/>
    <w:rsid w:val="00FE2DB8"/>
    <w:rsid w:val="00FF12A0"/>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Borders>
        <w:top w:val="single" w:sz="6" w:space="0" w:color="BF0013"/>
        <w:left w:val="none" w:sz="0" w:space="0" w:color="auto"/>
        <w:bottom w:val="single" w:sz="6" w:space="0" w:color="BF0013"/>
        <w:right w:val="none" w:sz="0" w:space="0" w:color="auto"/>
        <w:insideH w:val="single" w:sz="6" w:space="0" w:color="BF0013"/>
        <w:insideV w:val="single" w:sz="6" w:space="0" w:color="BF0013"/>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Borders>
        <w:top w:val="single" w:sz="8" w:space="0" w:color="FF4F60" w:themeColor="accent3"/>
        <w:bottom w:val="single" w:sz="8" w:space="0" w:color="FF4F60" w:themeColor="accent3"/>
      </w:tblBorders>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Borders>
        <w:top w:val="single" w:sz="8" w:space="0" w:color="A2000F" w:themeColor="accent2"/>
        <w:bottom w:val="single" w:sz="8" w:space="0" w:color="A2000F" w:themeColor="accent2"/>
      </w:tblBorders>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Borders>
        <w:top w:val="single" w:sz="8" w:space="0" w:color="74000B" w:themeColor="accent4"/>
        <w:bottom w:val="single" w:sz="8" w:space="0" w:color="74000B" w:themeColor="accent4"/>
      </w:tblBorders>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tblBorders>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Borders>
        <w:top w:val="single" w:sz="8" w:space="0" w:color="3F3F3F" w:themeColor="text1"/>
        <w:bottom w:val="single" w:sz="8" w:space="0" w:color="3F3F3F" w:themeColor="text1"/>
      </w:tblBorders>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 w:type="table" w:styleId="-14">
    <w:name w:val="Grid Table 1 Light Accent 4"/>
    <w:basedOn w:val="a2"/>
    <w:uiPriority w:val="46"/>
    <w:rsid w:val="008D4CF4"/>
    <w:pPr>
      <w:spacing w:after="0" w:line="240" w:lineRule="auto"/>
    </w:pPr>
    <w:tblPr>
      <w:tblStyleRowBandSize w:val="1"/>
      <w:tblStyleColBandSize w:val="1"/>
      <w:tblBorders>
        <w:top w:val="single" w:sz="4" w:space="0" w:color="FF6170" w:themeColor="accent4" w:themeTint="66"/>
        <w:left w:val="single" w:sz="4" w:space="0" w:color="FF6170" w:themeColor="accent4" w:themeTint="66"/>
        <w:bottom w:val="single" w:sz="4" w:space="0" w:color="FF6170" w:themeColor="accent4" w:themeTint="66"/>
        <w:right w:val="single" w:sz="4" w:space="0" w:color="FF6170" w:themeColor="accent4" w:themeTint="66"/>
        <w:insideH w:val="single" w:sz="4" w:space="0" w:color="FF6170" w:themeColor="accent4" w:themeTint="66"/>
        <w:insideV w:val="single" w:sz="4" w:space="0" w:color="FF6170" w:themeColor="accent4" w:themeTint="66"/>
      </w:tblBorders>
    </w:tblPr>
    <w:tblStylePr w:type="firstRow">
      <w:rPr>
        <w:b/>
        <w:bCs/>
      </w:rPr>
      <w:tblPr/>
      <w:tcPr>
        <w:tcBorders>
          <w:bottom w:val="single" w:sz="12" w:space="0" w:color="FF1228" w:themeColor="accent4" w:themeTint="99"/>
        </w:tcBorders>
      </w:tcPr>
    </w:tblStylePr>
    <w:tblStylePr w:type="lastRow">
      <w:rPr>
        <w:b/>
        <w:bCs/>
      </w:rPr>
      <w:tblPr/>
      <w:tcPr>
        <w:tcBorders>
          <w:top w:val="double" w:sz="2" w:space="0" w:color="FF1228" w:themeColor="accent4" w:themeTint="99"/>
        </w:tcBorders>
      </w:tcPr>
    </w:tblStylePr>
    <w:tblStylePr w:type="firstCol">
      <w:rPr>
        <w:b/>
        <w:bCs/>
      </w:rPr>
    </w:tblStylePr>
    <w:tblStylePr w:type="lastCol">
      <w:rPr>
        <w:b/>
        <w:bCs/>
      </w:rPr>
    </w:tblStylePr>
  </w:style>
  <w:style w:type="paragraph" w:styleId="aff8">
    <w:name w:val="Normal (Web)"/>
    <w:basedOn w:val="a0"/>
    <w:uiPriority w:val="99"/>
    <w:unhideWhenUsed/>
    <w:rsid w:val="00716C22"/>
    <w:pPr>
      <w:spacing w:before="100" w:beforeAutospacing="1" w:after="100" w:afterAutospacing="1"/>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03002">
      <w:bodyDiv w:val="1"/>
      <w:marLeft w:val="0"/>
      <w:marRight w:val="0"/>
      <w:marTop w:val="0"/>
      <w:marBottom w:val="0"/>
      <w:divBdr>
        <w:top w:val="none" w:sz="0" w:space="0" w:color="auto"/>
        <w:left w:val="none" w:sz="0" w:space="0" w:color="auto"/>
        <w:bottom w:val="none" w:sz="0" w:space="0" w:color="auto"/>
        <w:right w:val="none" w:sz="0" w:space="0" w:color="auto"/>
      </w:divBdr>
    </w:div>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 w:id="15131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nder@kaplife.ru" TargetMode="External"/><Relationship Id="rId4" Type="http://schemas.openxmlformats.org/officeDocument/2006/relationships/styles" Target="styles.xml"/><Relationship Id="rId9" Type="http://schemas.openxmlformats.org/officeDocument/2006/relationships/hyperlink" Target="mailto:Ekaterina_Hanykina@kaplife.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4F093E-658B-45E2-984A-3EB01F1C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22</TotalTime>
  <Pages>4</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 О. Фамилия</dc:creator>
  <cp:lastModifiedBy>Мягкова Юлия Владимировна</cp:lastModifiedBy>
  <cp:revision>14</cp:revision>
  <cp:lastPrinted>2019-08-16T14:00:00Z</cp:lastPrinted>
  <dcterms:created xsi:type="dcterms:W3CDTF">2023-12-06T12:40:00Z</dcterms:created>
  <dcterms:modified xsi:type="dcterms:W3CDTF">2024-07-09T13:58:00Z</dcterms:modified>
</cp:coreProperties>
</file>