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3549083">
      <w:pPr>
        <w:jc w:val="right"/>
        <w:rPr>
          <w:sz w:val="28"/>
        </w:rPr>
      </w:pPr>
    </w:p>
    <w:p w14:paraId="3188913F">
      <w:pPr>
        <w:jc w:val="right"/>
        <w:rPr>
          <w:sz w:val="28"/>
        </w:rPr>
      </w:pPr>
    </w:p>
    <w:p w14:paraId="78A985D1">
      <w:pPr>
        <w:jc w:val="right"/>
        <w:rPr>
          <w:sz w:val="28"/>
        </w:rPr>
      </w:pPr>
    </w:p>
    <w:p w14:paraId="61928B98">
      <w:pPr>
        <w:jc w:val="right"/>
        <w:rPr>
          <w:sz w:val="28"/>
        </w:rPr>
      </w:pPr>
    </w:p>
    <w:p w14:paraId="0FCCF9E6">
      <w:pPr>
        <w:jc w:val="right"/>
        <w:rPr>
          <w:sz w:val="28"/>
        </w:rPr>
      </w:pPr>
    </w:p>
    <w:p w14:paraId="1335DAD8">
      <w:pPr>
        <w:jc w:val="center"/>
        <w:rPr>
          <w:b/>
          <w:sz w:val="28"/>
        </w:rPr>
      </w:pPr>
    </w:p>
    <w:p w14:paraId="34EEFDB3">
      <w:pPr>
        <w:jc w:val="center"/>
        <w:rPr>
          <w:b/>
          <w:sz w:val="28"/>
        </w:rPr>
      </w:pPr>
    </w:p>
    <w:p w14:paraId="58A01E7A">
      <w:pPr>
        <w:jc w:val="center"/>
        <w:rPr>
          <w:b/>
          <w:sz w:val="28"/>
        </w:rPr>
      </w:pPr>
    </w:p>
    <w:p w14:paraId="6FF058B2">
      <w:pPr>
        <w:pStyle w:val="2"/>
        <w:keepNext w:val="0"/>
        <w:keepLines w:val="0"/>
        <w:widowControl/>
        <w:suppressLineNumbers w:val="0"/>
        <w:shd w:val="clear" w:fill="FFFFFF"/>
        <w:ind w:left="0" w:firstLine="0"/>
      </w:pPr>
      <w:r>
        <w:rPr>
          <w:b/>
          <w:sz w:val="28"/>
        </w:rPr>
        <w:t xml:space="preserve">Извещение к закупке </w:t>
      </w:r>
      <w:r>
        <w:rPr>
          <w:b/>
          <w:color w:val="2F5597" w:themeColor="accent5" w:themeShade="BF"/>
          <w:sz w:val="24"/>
          <w:szCs w:val="24"/>
        </w:rPr>
        <w:t xml:space="preserve"> </w:t>
      </w:r>
    </w:p>
    <w:p w14:paraId="46EB0D16">
      <w:pPr>
        <w:jc w:val="center"/>
        <w:rPr>
          <w:b/>
          <w:i/>
          <w:color w:val="FF0000"/>
          <w:sz w:val="20"/>
        </w:rPr>
      </w:pPr>
    </w:p>
    <w:p w14:paraId="078D2C62">
      <w:pPr>
        <w:jc w:val="center"/>
        <w:rPr>
          <w:b/>
          <w:sz w:val="28"/>
        </w:rPr>
      </w:pPr>
    </w:p>
    <w:p w14:paraId="33F8F937">
      <w:pPr>
        <w:jc w:val="center"/>
        <w:rPr>
          <w:b/>
          <w:sz w:val="28"/>
        </w:rPr>
      </w:pPr>
      <w:r>
        <w:rPr>
          <w:b/>
          <w:sz w:val="28"/>
        </w:rPr>
        <w:t xml:space="preserve">о проведении Тендера в электронной форме на право заключения </w:t>
      </w:r>
      <w:bookmarkStart w:id="0" w:name="_Hlk89419802"/>
      <w:r>
        <w:rPr>
          <w:b/>
          <w:sz w:val="28"/>
        </w:rPr>
        <w:t>договора</w:t>
      </w:r>
      <w:bookmarkStart w:id="1" w:name="_Hlk89426822"/>
      <w:r>
        <w:rPr>
          <w:b/>
          <w:sz w:val="28"/>
        </w:rPr>
        <w:t xml:space="preserve"> </w:t>
      </w:r>
      <w:bookmarkEnd w:id="0"/>
      <w:bookmarkStart w:id="2" w:name="_Hlk89423244"/>
      <w:r>
        <w:rPr>
          <w:b/>
          <w:sz w:val="28"/>
        </w:rPr>
        <w:t xml:space="preserve">на </w:t>
      </w:r>
      <w:bookmarkEnd w:id="1"/>
      <w:bookmarkEnd w:id="2"/>
      <w:r>
        <w:rPr>
          <w:rFonts w:hint="default"/>
          <w:b/>
          <w:color w:val="0000FF"/>
          <w:sz w:val="28"/>
        </w:rPr>
        <w:t>Выполнение работ по ремонту отделения первичного дробления Инв. №10-10003 АО «Липецкцемент»</w:t>
      </w:r>
    </w:p>
    <w:p w14:paraId="5F095AC6">
      <w:pPr>
        <w:jc w:val="center"/>
        <w:rPr>
          <w:b/>
          <w:sz w:val="28"/>
        </w:rPr>
      </w:pPr>
    </w:p>
    <w:p w14:paraId="49288FD7">
      <w:pPr>
        <w:jc w:val="center"/>
        <w:rPr>
          <w:b/>
          <w:sz w:val="28"/>
        </w:rPr>
      </w:pPr>
    </w:p>
    <w:p w14:paraId="596BE65A">
      <w:pPr>
        <w:jc w:val="center"/>
        <w:rPr>
          <w:b/>
          <w:sz w:val="28"/>
        </w:rPr>
      </w:pPr>
    </w:p>
    <w:p w14:paraId="23F1F564">
      <w:pPr>
        <w:jc w:val="center"/>
        <w:rPr>
          <w:b/>
          <w:sz w:val="28"/>
        </w:rPr>
      </w:pPr>
    </w:p>
    <w:p w14:paraId="1C33A47B">
      <w:pPr>
        <w:jc w:val="center"/>
        <w:rPr>
          <w:b/>
          <w:sz w:val="28"/>
        </w:rPr>
      </w:pPr>
    </w:p>
    <w:p w14:paraId="70EAEF98">
      <w:pPr>
        <w:jc w:val="center"/>
        <w:rPr>
          <w:b/>
          <w:sz w:val="28"/>
        </w:rPr>
      </w:pPr>
    </w:p>
    <w:p w14:paraId="4BDBB36E">
      <w:pPr>
        <w:jc w:val="center"/>
        <w:rPr>
          <w:b/>
          <w:sz w:val="28"/>
        </w:rPr>
      </w:pPr>
    </w:p>
    <w:p w14:paraId="584F2801">
      <w:pPr>
        <w:jc w:val="center"/>
        <w:rPr>
          <w:b/>
          <w:sz w:val="28"/>
        </w:rPr>
      </w:pPr>
    </w:p>
    <w:p w14:paraId="128B28B9">
      <w:pPr>
        <w:jc w:val="center"/>
        <w:rPr>
          <w:b/>
          <w:sz w:val="28"/>
        </w:rPr>
      </w:pPr>
    </w:p>
    <w:p w14:paraId="598D8719">
      <w:pPr>
        <w:jc w:val="center"/>
        <w:rPr>
          <w:b/>
          <w:sz w:val="28"/>
        </w:rPr>
      </w:pPr>
    </w:p>
    <w:p w14:paraId="05FB2DCF">
      <w:pPr>
        <w:jc w:val="center"/>
        <w:rPr>
          <w:b/>
          <w:sz w:val="28"/>
        </w:rPr>
      </w:pPr>
    </w:p>
    <w:p w14:paraId="14A40B1D">
      <w:pPr>
        <w:jc w:val="center"/>
        <w:rPr>
          <w:b/>
          <w:sz w:val="28"/>
        </w:rPr>
      </w:pPr>
    </w:p>
    <w:p w14:paraId="789B0B79">
      <w:pPr>
        <w:jc w:val="center"/>
        <w:rPr>
          <w:b/>
          <w:sz w:val="28"/>
        </w:rPr>
      </w:pPr>
    </w:p>
    <w:p w14:paraId="603A5AA2">
      <w:pPr>
        <w:jc w:val="center"/>
        <w:rPr>
          <w:b/>
          <w:sz w:val="28"/>
        </w:rPr>
      </w:pPr>
    </w:p>
    <w:p w14:paraId="767ADD8D">
      <w:pPr>
        <w:jc w:val="center"/>
        <w:rPr>
          <w:b/>
          <w:sz w:val="28"/>
        </w:rPr>
      </w:pPr>
    </w:p>
    <w:p w14:paraId="58E0F5FC">
      <w:pPr>
        <w:jc w:val="center"/>
        <w:rPr>
          <w:sz w:val="20"/>
        </w:rPr>
      </w:pPr>
      <w:r>
        <w:rPr>
          <w:sz w:val="20"/>
        </w:rPr>
        <w:t>г.</w:t>
      </w:r>
      <w:r>
        <w:rPr>
          <w:rFonts w:hint="default"/>
          <w:sz w:val="20"/>
          <w:lang w:val="ru-RU"/>
        </w:rPr>
        <w:t xml:space="preserve"> </w:t>
      </w:r>
      <w:r>
        <w:rPr>
          <w:sz w:val="20"/>
          <w:lang w:val="ru-RU"/>
        </w:rPr>
        <w:t>Липецк</w:t>
      </w:r>
      <w:r>
        <w:rPr>
          <w:rFonts w:hint="default"/>
          <w:sz w:val="20"/>
          <w:lang w:val="ru-RU"/>
        </w:rPr>
        <w:t xml:space="preserve"> </w:t>
      </w:r>
      <w:r>
        <w:rPr>
          <w:sz w:val="20"/>
        </w:rPr>
        <w:t>20</w:t>
      </w:r>
      <w:r>
        <w:rPr>
          <w:rFonts w:hint="default"/>
          <w:sz w:val="20"/>
          <w:lang w:val="ru-RU"/>
        </w:rPr>
        <w:t>24</w:t>
      </w:r>
      <w:r>
        <w:rPr>
          <w:sz w:val="20"/>
        </w:rPr>
        <w:t>г.</w:t>
      </w:r>
    </w:p>
    <w:p w14:paraId="330EC91F">
      <w:pPr>
        <w:jc w:val="center"/>
        <w:rPr>
          <w:sz w:val="20"/>
        </w:rPr>
      </w:pPr>
    </w:p>
    <w:p w14:paraId="15C0AD04">
      <w:pPr>
        <w:jc w:val="center"/>
        <w:rPr>
          <w:sz w:val="20"/>
        </w:rPr>
      </w:pPr>
    </w:p>
    <w:p w14:paraId="5C03FDB0">
      <w:pPr>
        <w:jc w:val="center"/>
        <w:rPr>
          <w:sz w:val="20"/>
        </w:rPr>
      </w:pPr>
    </w:p>
    <w:p w14:paraId="62F7D145">
      <w:pPr>
        <w:jc w:val="center"/>
        <w:rPr>
          <w:sz w:val="20"/>
        </w:rPr>
      </w:pPr>
    </w:p>
    <w:p w14:paraId="256BB2E6">
      <w:pPr>
        <w:jc w:val="center"/>
        <w:rPr>
          <w:sz w:val="20"/>
        </w:rPr>
      </w:pPr>
    </w:p>
    <w:p w14:paraId="412DB685">
      <w:pPr>
        <w:jc w:val="center"/>
        <w:rPr>
          <w:sz w:val="20"/>
        </w:rPr>
      </w:pPr>
    </w:p>
    <w:p w14:paraId="76F6748B">
      <w:pPr>
        <w:jc w:val="center"/>
        <w:rPr>
          <w:sz w:val="20"/>
        </w:rPr>
      </w:pPr>
    </w:p>
    <w:p w14:paraId="5E40FE5C">
      <w:pPr>
        <w:jc w:val="center"/>
        <w:rPr>
          <w:sz w:val="20"/>
        </w:rPr>
      </w:pPr>
    </w:p>
    <w:p w14:paraId="38C3502C">
      <w:pPr>
        <w:jc w:val="center"/>
        <w:rPr>
          <w:sz w:val="20"/>
        </w:rPr>
      </w:pPr>
    </w:p>
    <w:p w14:paraId="27527334">
      <w:pPr>
        <w:jc w:val="center"/>
        <w:rPr>
          <w:sz w:val="20"/>
        </w:rPr>
      </w:pPr>
    </w:p>
    <w:p w14:paraId="1E4368BF">
      <w:pPr>
        <w:jc w:val="center"/>
        <w:rPr>
          <w:sz w:val="20"/>
        </w:rPr>
      </w:pPr>
    </w:p>
    <w:p w14:paraId="1D39EDD3">
      <w:pPr>
        <w:jc w:val="center"/>
        <w:rPr>
          <w:sz w:val="20"/>
        </w:rPr>
      </w:pPr>
    </w:p>
    <w:p w14:paraId="5281828D">
      <w:pPr>
        <w:jc w:val="center"/>
        <w:rPr>
          <w:sz w:val="20"/>
        </w:rPr>
      </w:pPr>
    </w:p>
    <w:p w14:paraId="1E933442">
      <w:pPr>
        <w:jc w:val="center"/>
        <w:rPr>
          <w:sz w:val="20"/>
        </w:rPr>
      </w:pPr>
    </w:p>
    <w:p w14:paraId="08EC390A">
      <w:pPr>
        <w:jc w:val="center"/>
        <w:rPr>
          <w:sz w:val="20"/>
        </w:rPr>
      </w:pPr>
    </w:p>
    <w:p w14:paraId="06CE2323">
      <w:pPr>
        <w:jc w:val="center"/>
        <w:rPr>
          <w:sz w:val="20"/>
        </w:rPr>
      </w:pPr>
    </w:p>
    <w:p w14:paraId="63C0395A">
      <w:pPr>
        <w:jc w:val="center"/>
        <w:rPr>
          <w:sz w:val="20"/>
        </w:rPr>
      </w:pPr>
    </w:p>
    <w:p w14:paraId="2621B4D7">
      <w:pPr>
        <w:jc w:val="center"/>
        <w:rPr>
          <w:sz w:val="20"/>
        </w:rPr>
      </w:pPr>
    </w:p>
    <w:p w14:paraId="66D5AC74">
      <w:pPr>
        <w:jc w:val="center"/>
        <w:rPr>
          <w:sz w:val="20"/>
        </w:rPr>
      </w:pPr>
    </w:p>
    <w:p w14:paraId="097C1C2E">
      <w:pPr>
        <w:jc w:val="center"/>
        <w:rPr>
          <w:sz w:val="20"/>
        </w:rPr>
      </w:pPr>
    </w:p>
    <w:p w14:paraId="4D08D1B4">
      <w:pPr>
        <w:jc w:val="center"/>
        <w:rPr>
          <w:sz w:val="20"/>
        </w:rPr>
      </w:pPr>
    </w:p>
    <w:p w14:paraId="1DE82150">
      <w:pPr>
        <w:jc w:val="center"/>
        <w:rPr>
          <w:sz w:val="20"/>
        </w:rPr>
      </w:pPr>
    </w:p>
    <w:p w14:paraId="57BEB7F4">
      <w:pPr>
        <w:jc w:val="center"/>
        <w:rPr>
          <w:b/>
        </w:rPr>
      </w:pPr>
      <w:bookmarkStart w:id="3" w:name="_Toc121738775"/>
      <w:bookmarkStart w:id="4" w:name="_Toc293477595"/>
      <w:bookmarkStart w:id="5" w:name="_Ref119427269"/>
      <w:r>
        <w:rPr>
          <w:b/>
        </w:rPr>
        <w:t>ИНФОРМАЦИОННАЯ КАРТА</w:t>
      </w:r>
      <w:bookmarkEnd w:id="3"/>
      <w:bookmarkEnd w:id="4"/>
      <w:bookmarkEnd w:id="5"/>
    </w:p>
    <w:tbl>
      <w:tblPr>
        <w:tblStyle w:val="4"/>
        <w:tblW w:w="10142"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3685"/>
        <w:gridCol w:w="5728"/>
      </w:tblGrid>
      <w:tr w14:paraId="234A8C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29" w:type="dxa"/>
            <w:vAlign w:val="center"/>
          </w:tcPr>
          <w:p w14:paraId="3A41E0D6">
            <w:pPr>
              <w:widowControl w:val="0"/>
              <w:jc w:val="center"/>
              <w:rPr>
                <w:b/>
                <w:bCs/>
                <w:szCs w:val="24"/>
              </w:rPr>
            </w:pPr>
            <w:r>
              <w:rPr>
                <w:b/>
                <w:bCs/>
                <w:szCs w:val="24"/>
              </w:rPr>
              <w:t>№</w:t>
            </w:r>
          </w:p>
          <w:p w14:paraId="0405265A">
            <w:pPr>
              <w:widowControl w:val="0"/>
              <w:jc w:val="center"/>
              <w:rPr>
                <w:b/>
                <w:bCs/>
                <w:szCs w:val="24"/>
              </w:rPr>
            </w:pPr>
            <w:r>
              <w:rPr>
                <w:b/>
                <w:bCs/>
                <w:szCs w:val="24"/>
              </w:rPr>
              <w:t>п/п</w:t>
            </w:r>
          </w:p>
        </w:tc>
        <w:tc>
          <w:tcPr>
            <w:tcW w:w="3685" w:type="dxa"/>
            <w:vAlign w:val="center"/>
          </w:tcPr>
          <w:p w14:paraId="2BE9C8E6">
            <w:pPr>
              <w:widowControl w:val="0"/>
              <w:jc w:val="center"/>
              <w:rPr>
                <w:b/>
                <w:bCs/>
                <w:szCs w:val="24"/>
              </w:rPr>
            </w:pPr>
            <w:r>
              <w:rPr>
                <w:b/>
                <w:bCs/>
                <w:szCs w:val="24"/>
              </w:rPr>
              <w:t>Наименование пункта</w:t>
            </w:r>
          </w:p>
        </w:tc>
        <w:tc>
          <w:tcPr>
            <w:tcW w:w="5728" w:type="dxa"/>
            <w:vAlign w:val="center"/>
          </w:tcPr>
          <w:p w14:paraId="599F2BA3">
            <w:pPr>
              <w:widowControl w:val="0"/>
              <w:jc w:val="center"/>
              <w:rPr>
                <w:b/>
                <w:bCs/>
                <w:szCs w:val="24"/>
              </w:rPr>
            </w:pPr>
            <w:r>
              <w:rPr>
                <w:b/>
                <w:bCs/>
                <w:szCs w:val="24"/>
              </w:rPr>
              <w:t>Текст пояснений</w:t>
            </w:r>
          </w:p>
        </w:tc>
      </w:tr>
      <w:tr w14:paraId="2955D9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6662B533">
            <w:pPr>
              <w:widowControl w:val="0"/>
              <w:jc w:val="center"/>
              <w:rPr>
                <w:bCs/>
                <w:szCs w:val="24"/>
              </w:rPr>
            </w:pPr>
            <w:r>
              <w:rPr>
                <w:bCs/>
                <w:szCs w:val="24"/>
              </w:rPr>
              <w:t>1.</w:t>
            </w:r>
          </w:p>
        </w:tc>
        <w:tc>
          <w:tcPr>
            <w:tcW w:w="3685" w:type="dxa"/>
            <w:vAlign w:val="center"/>
          </w:tcPr>
          <w:p w14:paraId="6B93EFBF">
            <w:pPr>
              <w:widowControl w:val="0"/>
              <w:rPr>
                <w:b/>
                <w:bCs/>
                <w:szCs w:val="24"/>
              </w:rPr>
            </w:pPr>
            <w:r>
              <w:rPr>
                <w:b/>
                <w:bCs/>
                <w:szCs w:val="24"/>
              </w:rPr>
              <w:t>Организатор закупки</w:t>
            </w:r>
          </w:p>
        </w:tc>
        <w:tc>
          <w:tcPr>
            <w:tcW w:w="5728" w:type="dxa"/>
            <w:vAlign w:val="center"/>
          </w:tcPr>
          <w:p w14:paraId="3666A111">
            <w:pPr>
              <w:widowControl w:val="0"/>
              <w:rPr>
                <w:rFonts w:hint="default"/>
                <w:bCs/>
                <w:color w:val="2F5597" w:themeColor="accent5" w:themeShade="BF"/>
                <w:szCs w:val="24"/>
                <w:highlight w:val="none"/>
                <w:lang w:val="ru-RU"/>
              </w:rPr>
            </w:pPr>
            <w:r>
              <w:rPr>
                <w:bCs/>
                <w:color w:val="2F5597" w:themeColor="accent5" w:themeShade="BF"/>
                <w:szCs w:val="24"/>
                <w:highlight w:val="none"/>
                <w:lang w:val="ru-RU"/>
              </w:rPr>
              <w:t>АО</w:t>
            </w:r>
            <w:r>
              <w:rPr>
                <w:rFonts w:hint="default"/>
                <w:bCs/>
                <w:color w:val="2F5597" w:themeColor="accent5" w:themeShade="BF"/>
                <w:szCs w:val="24"/>
                <w:highlight w:val="none"/>
                <w:lang w:val="ru-RU"/>
              </w:rPr>
              <w:t xml:space="preserve"> «Липецкцемент»</w:t>
            </w:r>
          </w:p>
        </w:tc>
      </w:tr>
      <w:tr w14:paraId="58E0EA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1D07EBF7">
            <w:pPr>
              <w:widowControl w:val="0"/>
              <w:jc w:val="center"/>
              <w:rPr>
                <w:bCs/>
                <w:szCs w:val="24"/>
              </w:rPr>
            </w:pPr>
            <w:r>
              <w:rPr>
                <w:bCs/>
                <w:szCs w:val="24"/>
              </w:rPr>
              <w:t>1.2</w:t>
            </w:r>
          </w:p>
        </w:tc>
        <w:tc>
          <w:tcPr>
            <w:tcW w:w="3685" w:type="dxa"/>
            <w:vAlign w:val="center"/>
          </w:tcPr>
          <w:p w14:paraId="24C1A767">
            <w:pPr>
              <w:widowControl w:val="0"/>
              <w:rPr>
                <w:szCs w:val="24"/>
              </w:rPr>
            </w:pPr>
            <w:r>
              <w:rPr>
                <w:szCs w:val="24"/>
              </w:rPr>
              <w:t>Место нахождения</w:t>
            </w:r>
          </w:p>
        </w:tc>
        <w:tc>
          <w:tcPr>
            <w:tcW w:w="5728" w:type="dxa"/>
            <w:vAlign w:val="center"/>
          </w:tcPr>
          <w:p w14:paraId="320BC3B6">
            <w:pPr>
              <w:widowControl w:val="0"/>
              <w:rPr>
                <w:bCs/>
                <w:color w:val="2F5597" w:themeColor="accent5" w:themeShade="BF"/>
                <w:szCs w:val="24"/>
                <w:highlight w:val="none"/>
              </w:rPr>
            </w:pPr>
            <w:r>
              <w:rPr>
                <w:rFonts w:hint="default"/>
                <w:bCs/>
                <w:color w:val="2F5597" w:themeColor="accent5" w:themeShade="BF"/>
                <w:szCs w:val="24"/>
                <w:highlight w:val="none"/>
              </w:rPr>
              <w:t>398007, г. Липецк, ул. Ковалева владение 126 Б, этаж 2, офис 5</w:t>
            </w:r>
          </w:p>
        </w:tc>
      </w:tr>
      <w:tr w14:paraId="277CF5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3BBA241F">
            <w:pPr>
              <w:widowControl w:val="0"/>
              <w:jc w:val="center"/>
              <w:rPr>
                <w:bCs/>
                <w:szCs w:val="24"/>
              </w:rPr>
            </w:pPr>
            <w:r>
              <w:rPr>
                <w:bCs/>
                <w:szCs w:val="24"/>
              </w:rPr>
              <w:t>1.3</w:t>
            </w:r>
          </w:p>
        </w:tc>
        <w:tc>
          <w:tcPr>
            <w:tcW w:w="3685" w:type="dxa"/>
            <w:vAlign w:val="center"/>
          </w:tcPr>
          <w:p w14:paraId="663C0161">
            <w:pPr>
              <w:widowControl w:val="0"/>
              <w:rPr>
                <w:bCs/>
                <w:szCs w:val="24"/>
              </w:rPr>
            </w:pPr>
            <w:r>
              <w:rPr>
                <w:bCs/>
                <w:szCs w:val="24"/>
              </w:rPr>
              <w:t>Адрес электронной почты</w:t>
            </w:r>
          </w:p>
        </w:tc>
        <w:tc>
          <w:tcPr>
            <w:tcW w:w="5728" w:type="dxa"/>
            <w:vAlign w:val="center"/>
          </w:tcPr>
          <w:p w14:paraId="29577FBF">
            <w:pPr>
              <w:widowControl w:val="0"/>
              <w:rPr>
                <w:bCs/>
                <w:color w:val="2F5597" w:themeColor="accent5" w:themeShade="BF"/>
                <w:szCs w:val="24"/>
                <w:highlight w:val="none"/>
              </w:rPr>
            </w:pPr>
            <w:r>
              <w:rPr>
                <w:rFonts w:hint="default"/>
                <w:bCs/>
                <w:color w:val="2F5597" w:themeColor="accent5" w:themeShade="BF"/>
                <w:szCs w:val="24"/>
                <w:highlight w:val="none"/>
              </w:rPr>
              <w:t>Shabashova@cemros.ru</w:t>
            </w:r>
          </w:p>
        </w:tc>
      </w:tr>
      <w:tr w14:paraId="497C0B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 w:type="dxa"/>
            <w:vAlign w:val="center"/>
          </w:tcPr>
          <w:p w14:paraId="4073BC10">
            <w:pPr>
              <w:widowControl w:val="0"/>
              <w:jc w:val="center"/>
              <w:rPr>
                <w:bCs/>
                <w:szCs w:val="24"/>
              </w:rPr>
            </w:pPr>
            <w:r>
              <w:rPr>
                <w:bCs/>
                <w:szCs w:val="24"/>
              </w:rPr>
              <w:t>1.4</w:t>
            </w:r>
          </w:p>
        </w:tc>
        <w:tc>
          <w:tcPr>
            <w:tcW w:w="3685" w:type="dxa"/>
            <w:vAlign w:val="center"/>
          </w:tcPr>
          <w:p w14:paraId="20D7816E">
            <w:pPr>
              <w:widowControl w:val="0"/>
              <w:rPr>
                <w:bCs/>
                <w:szCs w:val="24"/>
              </w:rPr>
            </w:pPr>
            <w:r>
              <w:rPr>
                <w:szCs w:val="24"/>
              </w:rPr>
              <w:t>ИНН</w:t>
            </w:r>
          </w:p>
        </w:tc>
        <w:tc>
          <w:tcPr>
            <w:tcW w:w="5728" w:type="dxa"/>
            <w:vAlign w:val="center"/>
          </w:tcPr>
          <w:p w14:paraId="31C77166">
            <w:pPr>
              <w:widowControl w:val="0"/>
              <w:rPr>
                <w:bCs/>
                <w:color w:val="2F5597" w:themeColor="accent5" w:themeShade="BF"/>
                <w:szCs w:val="24"/>
                <w:highlight w:val="none"/>
              </w:rPr>
            </w:pPr>
            <w:r>
              <w:rPr>
                <w:color w:val="2F5597" w:themeColor="accent5" w:themeShade="BF"/>
                <w:highlight w:val="none"/>
              </w:rPr>
              <w:t>4825002609</w:t>
            </w:r>
          </w:p>
        </w:tc>
      </w:tr>
      <w:tr w14:paraId="46911F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65513061">
            <w:pPr>
              <w:widowControl w:val="0"/>
              <w:jc w:val="center"/>
              <w:rPr>
                <w:bCs/>
                <w:szCs w:val="24"/>
              </w:rPr>
            </w:pPr>
            <w:r>
              <w:rPr>
                <w:bCs/>
                <w:szCs w:val="24"/>
              </w:rPr>
              <w:t>1.5</w:t>
            </w:r>
          </w:p>
        </w:tc>
        <w:tc>
          <w:tcPr>
            <w:tcW w:w="3685" w:type="dxa"/>
            <w:vAlign w:val="center"/>
          </w:tcPr>
          <w:p w14:paraId="40B441C1">
            <w:pPr>
              <w:widowControl w:val="0"/>
              <w:rPr>
                <w:bCs/>
                <w:szCs w:val="24"/>
              </w:rPr>
            </w:pPr>
            <w:r>
              <w:rPr>
                <w:szCs w:val="24"/>
              </w:rPr>
              <w:t>Контактное лицо</w:t>
            </w:r>
          </w:p>
        </w:tc>
        <w:tc>
          <w:tcPr>
            <w:tcW w:w="5728" w:type="dxa"/>
            <w:vAlign w:val="center"/>
          </w:tcPr>
          <w:p w14:paraId="1CE7A49F">
            <w:pPr>
              <w:widowControl w:val="0"/>
              <w:rPr>
                <w:rFonts w:hint="default"/>
                <w:bCs/>
                <w:color w:val="2F5597" w:themeColor="accent5" w:themeShade="BF"/>
                <w:szCs w:val="24"/>
                <w:highlight w:val="none"/>
                <w:lang w:val="ru-RU"/>
              </w:rPr>
            </w:pPr>
            <w:r>
              <w:rPr>
                <w:bCs/>
                <w:color w:val="2F5597" w:themeColor="accent5" w:themeShade="BF"/>
                <w:szCs w:val="24"/>
                <w:highlight w:val="none"/>
                <w:lang w:val="ru-RU"/>
              </w:rPr>
              <w:t>Шабашова</w:t>
            </w:r>
            <w:r>
              <w:rPr>
                <w:rFonts w:hint="default"/>
                <w:bCs/>
                <w:color w:val="2F5597" w:themeColor="accent5" w:themeShade="BF"/>
                <w:szCs w:val="24"/>
                <w:highlight w:val="none"/>
                <w:lang w:val="ru-RU"/>
              </w:rPr>
              <w:t xml:space="preserve"> Наталия Юрьевна</w:t>
            </w:r>
          </w:p>
        </w:tc>
      </w:tr>
      <w:tr w14:paraId="104240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29" w:type="dxa"/>
            <w:vAlign w:val="center"/>
          </w:tcPr>
          <w:p w14:paraId="49053128">
            <w:pPr>
              <w:widowControl w:val="0"/>
              <w:jc w:val="center"/>
              <w:rPr>
                <w:bCs/>
                <w:szCs w:val="24"/>
              </w:rPr>
            </w:pPr>
            <w:r>
              <w:rPr>
                <w:bCs/>
                <w:szCs w:val="24"/>
              </w:rPr>
              <w:t>1.6</w:t>
            </w:r>
          </w:p>
        </w:tc>
        <w:tc>
          <w:tcPr>
            <w:tcW w:w="3685" w:type="dxa"/>
            <w:vAlign w:val="center"/>
          </w:tcPr>
          <w:p w14:paraId="61473BC8">
            <w:pPr>
              <w:widowControl w:val="0"/>
              <w:rPr>
                <w:bCs/>
                <w:szCs w:val="24"/>
              </w:rPr>
            </w:pPr>
            <w:r>
              <w:rPr>
                <w:szCs w:val="24"/>
              </w:rPr>
              <w:t>Контактный телефон</w:t>
            </w:r>
          </w:p>
        </w:tc>
        <w:tc>
          <w:tcPr>
            <w:tcW w:w="5728" w:type="dxa"/>
            <w:vAlign w:val="center"/>
          </w:tcPr>
          <w:p w14:paraId="434F3624">
            <w:pPr>
              <w:widowControl w:val="0"/>
              <w:rPr>
                <w:rFonts w:hint="default"/>
                <w:bCs/>
                <w:color w:val="2F5597" w:themeColor="accent5" w:themeShade="BF"/>
                <w:szCs w:val="24"/>
                <w:highlight w:val="none"/>
                <w:lang w:val="ru-RU"/>
              </w:rPr>
            </w:pPr>
            <w:r>
              <w:rPr>
                <w:rFonts w:hint="default"/>
                <w:bCs/>
                <w:color w:val="2F5597" w:themeColor="accent5" w:themeShade="BF"/>
                <w:szCs w:val="24"/>
                <w:highlight w:val="none"/>
                <w:lang w:val="ru-RU"/>
              </w:rPr>
              <w:t>+7/4742/ 309-700 (доб.68-822)</w:t>
            </w:r>
          </w:p>
        </w:tc>
      </w:tr>
      <w:tr w14:paraId="1B2DED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11C06F9A">
            <w:pPr>
              <w:widowControl w:val="0"/>
              <w:jc w:val="center"/>
              <w:rPr>
                <w:bCs/>
                <w:szCs w:val="24"/>
              </w:rPr>
            </w:pPr>
            <w:bookmarkStart w:id="6" w:name="ЗаказчикИмя" w:colFirst="2" w:colLast="2"/>
            <w:r>
              <w:rPr>
                <w:bCs/>
                <w:szCs w:val="24"/>
              </w:rPr>
              <w:t>2.</w:t>
            </w:r>
          </w:p>
        </w:tc>
        <w:tc>
          <w:tcPr>
            <w:tcW w:w="3685" w:type="dxa"/>
            <w:vAlign w:val="center"/>
          </w:tcPr>
          <w:p w14:paraId="7339C583">
            <w:pPr>
              <w:widowControl w:val="0"/>
              <w:rPr>
                <w:bCs/>
                <w:szCs w:val="24"/>
              </w:rPr>
            </w:pPr>
            <w:r>
              <w:rPr>
                <w:b/>
                <w:bCs/>
                <w:szCs w:val="24"/>
              </w:rPr>
              <w:t>Заказчик</w:t>
            </w:r>
            <w:r>
              <w:rPr>
                <w:bCs/>
                <w:szCs w:val="24"/>
              </w:rPr>
              <w:t xml:space="preserve">: </w:t>
            </w:r>
          </w:p>
        </w:tc>
        <w:tc>
          <w:tcPr>
            <w:tcW w:w="5728" w:type="dxa"/>
            <w:vAlign w:val="center"/>
          </w:tcPr>
          <w:p w14:paraId="0F928F25">
            <w:pPr>
              <w:widowControl w:val="0"/>
              <w:rPr>
                <w:rFonts w:hint="default"/>
                <w:bCs/>
                <w:color w:val="2F5597" w:themeColor="accent5" w:themeShade="BF"/>
                <w:szCs w:val="24"/>
                <w:highlight w:val="none"/>
                <w:lang w:val="ru-RU"/>
              </w:rPr>
            </w:pPr>
            <w:r>
              <w:rPr>
                <w:bCs/>
                <w:color w:val="2F5597" w:themeColor="accent5" w:themeShade="BF"/>
                <w:szCs w:val="24"/>
                <w:highlight w:val="none"/>
                <w:lang w:val="ru-RU"/>
              </w:rPr>
              <w:t>АО</w:t>
            </w:r>
            <w:r>
              <w:rPr>
                <w:rFonts w:hint="default"/>
                <w:bCs/>
                <w:color w:val="2F5597" w:themeColor="accent5" w:themeShade="BF"/>
                <w:szCs w:val="24"/>
                <w:highlight w:val="none"/>
                <w:lang w:val="ru-RU"/>
              </w:rPr>
              <w:t xml:space="preserve"> «Липецкцемент»</w:t>
            </w:r>
          </w:p>
        </w:tc>
      </w:tr>
      <w:bookmarkEnd w:id="6"/>
      <w:tr w14:paraId="150D29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9" w:type="dxa"/>
            <w:vAlign w:val="center"/>
          </w:tcPr>
          <w:p w14:paraId="2D34F3CC">
            <w:pPr>
              <w:widowControl w:val="0"/>
              <w:jc w:val="center"/>
              <w:rPr>
                <w:szCs w:val="24"/>
                <w:lang w:val="en-US"/>
              </w:rPr>
            </w:pPr>
            <w:r>
              <w:rPr>
                <w:szCs w:val="24"/>
              </w:rPr>
              <w:t>2.1</w:t>
            </w:r>
          </w:p>
        </w:tc>
        <w:tc>
          <w:tcPr>
            <w:tcW w:w="3685" w:type="dxa"/>
            <w:vAlign w:val="center"/>
          </w:tcPr>
          <w:p w14:paraId="20453DFB">
            <w:pPr>
              <w:widowControl w:val="0"/>
              <w:rPr>
                <w:szCs w:val="24"/>
              </w:rPr>
            </w:pPr>
            <w:r>
              <w:rPr>
                <w:szCs w:val="24"/>
              </w:rPr>
              <w:t>Место нахождения</w:t>
            </w:r>
          </w:p>
        </w:tc>
        <w:tc>
          <w:tcPr>
            <w:tcW w:w="5728" w:type="dxa"/>
            <w:vAlign w:val="center"/>
          </w:tcPr>
          <w:p w14:paraId="0F3B71C9">
            <w:pPr>
              <w:widowControl w:val="0"/>
              <w:rPr>
                <w:rFonts w:ascii="Times New Roman" w:hAnsi="Times New Roman" w:cs="Times New Roman" w:eastAsiaTheme="minorHAnsi"/>
                <w:bCs/>
                <w:color w:val="2F5597" w:themeColor="accent5" w:themeShade="BF"/>
                <w:sz w:val="24"/>
                <w:szCs w:val="24"/>
                <w:highlight w:val="none"/>
                <w:lang w:val="ru-RU" w:eastAsia="en-US" w:bidi="ar-SA"/>
              </w:rPr>
            </w:pPr>
            <w:r>
              <w:rPr>
                <w:rFonts w:hint="default"/>
                <w:bCs/>
                <w:color w:val="2F5597" w:themeColor="accent5" w:themeShade="BF"/>
                <w:szCs w:val="24"/>
                <w:highlight w:val="none"/>
              </w:rPr>
              <w:t>398007, г. Липецк, ул. Ковалева владение 126 Б, этаж 2, офис 5</w:t>
            </w:r>
          </w:p>
        </w:tc>
      </w:tr>
      <w:tr w14:paraId="3F6565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6142B33A">
            <w:pPr>
              <w:widowControl w:val="0"/>
              <w:jc w:val="center"/>
              <w:rPr>
                <w:szCs w:val="24"/>
              </w:rPr>
            </w:pPr>
            <w:r>
              <w:rPr>
                <w:szCs w:val="24"/>
              </w:rPr>
              <w:t>2.2</w:t>
            </w:r>
          </w:p>
        </w:tc>
        <w:tc>
          <w:tcPr>
            <w:tcW w:w="3685" w:type="dxa"/>
            <w:vAlign w:val="center"/>
          </w:tcPr>
          <w:p w14:paraId="3E7EC3D9">
            <w:pPr>
              <w:widowControl w:val="0"/>
              <w:rPr>
                <w:szCs w:val="24"/>
              </w:rPr>
            </w:pPr>
            <w:r>
              <w:rPr>
                <w:szCs w:val="24"/>
              </w:rPr>
              <w:t>Адрес электронной почты</w:t>
            </w:r>
          </w:p>
        </w:tc>
        <w:tc>
          <w:tcPr>
            <w:tcW w:w="5728" w:type="dxa"/>
            <w:vAlign w:val="center"/>
          </w:tcPr>
          <w:p w14:paraId="4295A65F">
            <w:pPr>
              <w:widowControl w:val="0"/>
              <w:rPr>
                <w:rFonts w:ascii="Times New Roman" w:hAnsi="Times New Roman" w:cs="Times New Roman" w:eastAsiaTheme="minorHAnsi"/>
                <w:bCs/>
                <w:color w:val="2F5597" w:themeColor="accent5" w:themeShade="BF"/>
                <w:sz w:val="24"/>
                <w:szCs w:val="24"/>
                <w:highlight w:val="none"/>
                <w:lang w:val="ru-RU" w:eastAsia="en-US" w:bidi="ar-SA"/>
              </w:rPr>
            </w:pPr>
            <w:r>
              <w:rPr>
                <w:rFonts w:hint="default" w:ascii="Arial" w:hAnsi="Arial" w:eastAsia="SimSun"/>
                <w:i w:val="0"/>
                <w:iCs w:val="0"/>
                <w:caps w:val="0"/>
                <w:color w:val="3A8475"/>
                <w:spacing w:val="0"/>
                <w:sz w:val="19"/>
                <w:szCs w:val="19"/>
                <w:u w:val="single"/>
              </w:rPr>
              <w:t>Shabashova@cemros.ru</w:t>
            </w:r>
          </w:p>
        </w:tc>
      </w:tr>
      <w:tr w14:paraId="0E0E63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1995E18C">
            <w:pPr>
              <w:widowControl w:val="0"/>
              <w:jc w:val="center"/>
              <w:rPr>
                <w:szCs w:val="24"/>
              </w:rPr>
            </w:pPr>
            <w:r>
              <w:rPr>
                <w:szCs w:val="24"/>
              </w:rPr>
              <w:t>2.3</w:t>
            </w:r>
          </w:p>
        </w:tc>
        <w:tc>
          <w:tcPr>
            <w:tcW w:w="3685" w:type="dxa"/>
            <w:vAlign w:val="center"/>
          </w:tcPr>
          <w:p w14:paraId="036CC5EE">
            <w:pPr>
              <w:widowControl w:val="0"/>
              <w:rPr>
                <w:szCs w:val="24"/>
              </w:rPr>
            </w:pPr>
            <w:r>
              <w:rPr>
                <w:szCs w:val="24"/>
              </w:rPr>
              <w:t>ИНН</w:t>
            </w:r>
          </w:p>
        </w:tc>
        <w:tc>
          <w:tcPr>
            <w:tcW w:w="5728" w:type="dxa"/>
            <w:vAlign w:val="center"/>
          </w:tcPr>
          <w:p w14:paraId="3674F69D">
            <w:pPr>
              <w:widowControl w:val="0"/>
              <w:rPr>
                <w:color w:val="2F5597" w:themeColor="accent5" w:themeShade="BF"/>
                <w:szCs w:val="24"/>
                <w:highlight w:val="none"/>
                <w:lang w:val="en-US"/>
              </w:rPr>
            </w:pPr>
            <w:r>
              <w:rPr>
                <w:color w:val="2F5597" w:themeColor="accent5" w:themeShade="BF"/>
                <w:highlight w:val="none"/>
              </w:rPr>
              <w:t>4825002609</w:t>
            </w:r>
          </w:p>
        </w:tc>
      </w:tr>
      <w:tr w14:paraId="0347A1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6CF58003">
            <w:pPr>
              <w:widowControl w:val="0"/>
              <w:jc w:val="center"/>
              <w:rPr>
                <w:szCs w:val="24"/>
              </w:rPr>
            </w:pPr>
            <w:r>
              <w:rPr>
                <w:szCs w:val="24"/>
              </w:rPr>
              <w:t>2.4</w:t>
            </w:r>
          </w:p>
        </w:tc>
        <w:tc>
          <w:tcPr>
            <w:tcW w:w="3685" w:type="dxa"/>
            <w:vAlign w:val="center"/>
          </w:tcPr>
          <w:p w14:paraId="2BC7256D">
            <w:pPr>
              <w:widowControl w:val="0"/>
              <w:rPr>
                <w:szCs w:val="24"/>
              </w:rPr>
            </w:pPr>
            <w:r>
              <w:rPr>
                <w:szCs w:val="24"/>
              </w:rPr>
              <w:t>Контактное лицо</w:t>
            </w:r>
          </w:p>
        </w:tc>
        <w:tc>
          <w:tcPr>
            <w:tcW w:w="5728" w:type="dxa"/>
            <w:vAlign w:val="center"/>
          </w:tcPr>
          <w:p w14:paraId="04617248">
            <w:pPr>
              <w:widowControl w:val="0"/>
              <w:rPr>
                <w:color w:val="2F5597" w:themeColor="accent5" w:themeShade="BF"/>
                <w:szCs w:val="24"/>
                <w:highlight w:val="none"/>
              </w:rPr>
            </w:pPr>
            <w:r>
              <w:rPr>
                <w:rFonts w:hint="default"/>
                <w:color w:val="2F5597" w:themeColor="accent5" w:themeShade="BF"/>
                <w:szCs w:val="24"/>
                <w:highlight w:val="none"/>
              </w:rPr>
              <w:t>Шабашова Наталия Юрьевна</w:t>
            </w:r>
          </w:p>
        </w:tc>
      </w:tr>
      <w:tr w14:paraId="547267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3B27AFAA">
            <w:pPr>
              <w:widowControl w:val="0"/>
              <w:jc w:val="center"/>
              <w:rPr>
                <w:szCs w:val="24"/>
              </w:rPr>
            </w:pPr>
            <w:r>
              <w:rPr>
                <w:szCs w:val="24"/>
              </w:rPr>
              <w:t>2.5</w:t>
            </w:r>
          </w:p>
        </w:tc>
        <w:tc>
          <w:tcPr>
            <w:tcW w:w="3685" w:type="dxa"/>
            <w:vAlign w:val="center"/>
          </w:tcPr>
          <w:p w14:paraId="5CF30750">
            <w:pPr>
              <w:widowControl w:val="0"/>
              <w:rPr>
                <w:szCs w:val="24"/>
              </w:rPr>
            </w:pPr>
            <w:r>
              <w:rPr>
                <w:szCs w:val="24"/>
              </w:rPr>
              <w:t>Контактный телефон</w:t>
            </w:r>
          </w:p>
        </w:tc>
        <w:tc>
          <w:tcPr>
            <w:tcW w:w="5728" w:type="dxa"/>
            <w:vAlign w:val="center"/>
          </w:tcPr>
          <w:p w14:paraId="3A6B1BCC">
            <w:pPr>
              <w:widowControl w:val="0"/>
              <w:rPr>
                <w:rFonts w:hint="default"/>
                <w:color w:val="2F5597" w:themeColor="accent5" w:themeShade="BF"/>
                <w:szCs w:val="24"/>
                <w:highlight w:val="none"/>
                <w:lang w:val="ru-RU"/>
              </w:rPr>
            </w:pPr>
            <w:r>
              <w:rPr>
                <w:rFonts w:hint="default"/>
                <w:color w:val="2F5597" w:themeColor="accent5" w:themeShade="BF"/>
                <w:szCs w:val="24"/>
                <w:highlight w:val="none"/>
                <w:lang w:val="ru-RU"/>
              </w:rPr>
              <w:t>+7/4742/ 309-700 (доб.68-822)</w:t>
            </w:r>
          </w:p>
        </w:tc>
      </w:tr>
      <w:tr w14:paraId="7922EE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29" w:type="dxa"/>
            <w:vAlign w:val="center"/>
          </w:tcPr>
          <w:p w14:paraId="2FAD5957">
            <w:pPr>
              <w:widowControl w:val="0"/>
              <w:rPr>
                <w:szCs w:val="24"/>
              </w:rPr>
            </w:pPr>
            <w:r>
              <w:rPr>
                <w:szCs w:val="24"/>
              </w:rPr>
              <w:t xml:space="preserve"> 3.</w:t>
            </w:r>
          </w:p>
        </w:tc>
        <w:tc>
          <w:tcPr>
            <w:tcW w:w="3685" w:type="dxa"/>
            <w:vAlign w:val="center"/>
          </w:tcPr>
          <w:p w14:paraId="1BF4C1D0">
            <w:pPr>
              <w:pStyle w:val="14"/>
              <w:jc w:val="left"/>
              <w:rPr>
                <w:color w:val="auto"/>
                <w:sz w:val="24"/>
                <w:szCs w:val="24"/>
              </w:rPr>
            </w:pPr>
            <w:r>
              <w:rPr>
                <w:color w:val="auto"/>
                <w:sz w:val="24"/>
                <w:szCs w:val="24"/>
              </w:rPr>
              <w:t>Оператор ЭТП:</w:t>
            </w:r>
          </w:p>
        </w:tc>
        <w:tc>
          <w:tcPr>
            <w:tcW w:w="5728" w:type="dxa"/>
            <w:vAlign w:val="center"/>
          </w:tcPr>
          <w:p w14:paraId="5E91DFB9">
            <w:pPr>
              <w:widowControl w:val="0"/>
              <w:rPr>
                <w:rFonts w:hint="default"/>
                <w:color w:val="2F5597" w:themeColor="accent5" w:themeShade="BF"/>
                <w:szCs w:val="24"/>
                <w:highlight w:val="none"/>
                <w:lang w:val="ru-RU"/>
              </w:rPr>
            </w:pPr>
            <w:r>
              <w:rPr>
                <w:color w:val="2F5597" w:themeColor="accent5" w:themeShade="BF"/>
                <w:szCs w:val="24"/>
                <w:highlight w:val="none"/>
                <w:lang w:val="ru-RU"/>
              </w:rPr>
              <w:t>РосЭлТорг</w:t>
            </w:r>
            <w:r>
              <w:rPr>
                <w:rFonts w:hint="default"/>
                <w:color w:val="2F5597" w:themeColor="accent5" w:themeShade="BF"/>
                <w:szCs w:val="24"/>
                <w:highlight w:val="none"/>
                <w:lang w:val="ru-RU"/>
              </w:rPr>
              <w:t>.Бизнес</w:t>
            </w:r>
          </w:p>
        </w:tc>
      </w:tr>
      <w:tr w14:paraId="16180D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233F056C">
            <w:pPr>
              <w:widowControl w:val="0"/>
              <w:jc w:val="center"/>
              <w:rPr>
                <w:szCs w:val="24"/>
              </w:rPr>
            </w:pPr>
            <w:r>
              <w:rPr>
                <w:szCs w:val="24"/>
              </w:rPr>
              <w:t>2.1</w:t>
            </w:r>
          </w:p>
        </w:tc>
        <w:tc>
          <w:tcPr>
            <w:tcW w:w="3685" w:type="dxa"/>
            <w:vAlign w:val="center"/>
          </w:tcPr>
          <w:p w14:paraId="61D51820">
            <w:pPr>
              <w:pStyle w:val="14"/>
              <w:jc w:val="left"/>
              <w:rPr>
                <w:color w:val="auto"/>
                <w:sz w:val="24"/>
                <w:szCs w:val="24"/>
              </w:rPr>
            </w:pPr>
            <w:r>
              <w:rPr>
                <w:color w:val="auto"/>
                <w:sz w:val="24"/>
                <w:szCs w:val="24"/>
              </w:rPr>
              <w:t>Адрес ЭТП:</w:t>
            </w:r>
          </w:p>
        </w:tc>
        <w:tc>
          <w:tcPr>
            <w:tcW w:w="5728" w:type="dxa"/>
            <w:vAlign w:val="center"/>
          </w:tcPr>
          <w:p w14:paraId="6EB53426">
            <w:pPr>
              <w:widowControl w:val="0"/>
              <w:rPr>
                <w:rFonts w:hint="default"/>
                <w:color w:val="2F5597" w:themeColor="accent5" w:themeShade="BF"/>
                <w:szCs w:val="24"/>
                <w:highlight w:val="none"/>
                <w:u w:val="single"/>
                <w:lang w:val="en-US"/>
              </w:rPr>
            </w:pPr>
            <w:r>
              <w:rPr>
                <w:rFonts w:hint="default"/>
                <w:color w:val="2F5597" w:themeColor="accent5" w:themeShade="BF"/>
                <w:szCs w:val="24"/>
                <w:highlight w:val="none"/>
                <w:u w:val="single"/>
              </w:rPr>
              <w:t>https://business.roseltorg.ru/</w:t>
            </w:r>
          </w:p>
        </w:tc>
      </w:tr>
      <w:tr w14:paraId="355641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9" w:type="dxa"/>
            <w:vAlign w:val="center"/>
          </w:tcPr>
          <w:p w14:paraId="7B205B64">
            <w:pPr>
              <w:widowControl w:val="0"/>
              <w:jc w:val="center"/>
              <w:rPr>
                <w:szCs w:val="24"/>
              </w:rPr>
            </w:pPr>
            <w:bookmarkStart w:id="7" w:name="НаименованиеПолное" w:colFirst="2" w:colLast="2"/>
            <w:r>
              <w:rPr>
                <w:szCs w:val="24"/>
              </w:rPr>
              <w:t>3.</w:t>
            </w:r>
          </w:p>
        </w:tc>
        <w:tc>
          <w:tcPr>
            <w:tcW w:w="3685" w:type="dxa"/>
            <w:vAlign w:val="center"/>
          </w:tcPr>
          <w:p w14:paraId="12DBAE37">
            <w:pPr>
              <w:widowControl w:val="0"/>
              <w:rPr>
                <w:bCs/>
                <w:szCs w:val="24"/>
              </w:rPr>
            </w:pPr>
            <w:r>
              <w:rPr>
                <w:bCs/>
                <w:szCs w:val="24"/>
              </w:rPr>
              <w:t>Наименование предмета договора</w:t>
            </w:r>
          </w:p>
        </w:tc>
        <w:tc>
          <w:tcPr>
            <w:tcW w:w="5728" w:type="dxa"/>
            <w:vAlign w:val="center"/>
          </w:tcPr>
          <w:p w14:paraId="46D6C600">
            <w:pPr>
              <w:widowControl w:val="0"/>
              <w:rPr>
                <w:rFonts w:hint="default"/>
                <w:color w:val="2F5597" w:themeColor="accent5" w:themeShade="BF"/>
                <w:szCs w:val="24"/>
                <w:lang w:val="ru-RU"/>
              </w:rPr>
            </w:pPr>
            <w:r>
              <w:rPr>
                <w:rFonts w:hint="default"/>
                <w:b/>
                <w:color w:val="0000FF"/>
                <w:sz w:val="28"/>
              </w:rPr>
              <w:t>Выполнение работ по ремонту отделения первичного дробления Инв. №10-10003 АО «Липецкцемент»</w:t>
            </w:r>
          </w:p>
        </w:tc>
      </w:tr>
      <w:bookmarkEnd w:id="7"/>
      <w:tr w14:paraId="621672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1256F7A6">
            <w:pPr>
              <w:widowControl w:val="0"/>
              <w:jc w:val="center"/>
              <w:rPr>
                <w:szCs w:val="24"/>
              </w:rPr>
            </w:pPr>
            <w:bookmarkStart w:id="8" w:name="ПроцентОбеспеченияКонтракта" w:colFirst="2" w:colLast="2"/>
            <w:r>
              <w:rPr>
                <w:szCs w:val="24"/>
              </w:rPr>
              <w:t>4.</w:t>
            </w:r>
          </w:p>
        </w:tc>
        <w:tc>
          <w:tcPr>
            <w:tcW w:w="3685" w:type="dxa"/>
            <w:vAlign w:val="center"/>
          </w:tcPr>
          <w:p w14:paraId="54B88AB9">
            <w:pPr>
              <w:widowControl w:val="0"/>
              <w:rPr>
                <w:szCs w:val="24"/>
              </w:rPr>
            </w:pPr>
            <w:r>
              <w:rPr>
                <w:szCs w:val="24"/>
              </w:rPr>
              <w:t>Требования к Продукции</w:t>
            </w:r>
          </w:p>
        </w:tc>
        <w:tc>
          <w:tcPr>
            <w:tcW w:w="5728" w:type="dxa"/>
            <w:vAlign w:val="center"/>
          </w:tcPr>
          <w:p w14:paraId="7D159ED4">
            <w:pPr>
              <w:jc w:val="both"/>
              <w:rPr>
                <w:color w:val="2F5597" w:themeColor="accent5" w:themeShade="BF"/>
                <w:szCs w:val="24"/>
              </w:rPr>
            </w:pPr>
            <w:r>
              <w:rPr>
                <w:color w:val="2F5597" w:themeColor="accent5" w:themeShade="BF"/>
                <w:szCs w:val="24"/>
              </w:rPr>
              <w:t>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Продукции, к размерам, упаковке, отгрузке Продукции, к результатам работ и иные требования, связанные с определением соответствия поставляемой Продукции потребностям Заказчика, приведены в приложении к Извещению- Техническое задание (</w:t>
            </w:r>
            <w:r>
              <w:rPr>
                <w:i/>
                <w:color w:val="2F5597" w:themeColor="accent5" w:themeShade="BF"/>
                <w:szCs w:val="24"/>
              </w:rPr>
              <w:t>если есть ТЗ, либо описываются отдельно)</w:t>
            </w:r>
          </w:p>
        </w:tc>
      </w:tr>
      <w:bookmarkEnd w:id="8"/>
      <w:tr w14:paraId="22F539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1B98EAA5">
            <w:pPr>
              <w:widowControl w:val="0"/>
              <w:jc w:val="center"/>
              <w:rPr>
                <w:szCs w:val="24"/>
              </w:rPr>
            </w:pPr>
            <w:r>
              <w:rPr>
                <w:szCs w:val="24"/>
              </w:rPr>
              <w:t>5.</w:t>
            </w:r>
          </w:p>
        </w:tc>
        <w:tc>
          <w:tcPr>
            <w:tcW w:w="3685" w:type="dxa"/>
            <w:vAlign w:val="center"/>
          </w:tcPr>
          <w:p w14:paraId="0D5FACAD">
            <w:pPr>
              <w:widowControl w:val="0"/>
              <w:rPr>
                <w:szCs w:val="24"/>
              </w:rPr>
            </w:pPr>
            <w:r>
              <w:rPr>
                <w:szCs w:val="24"/>
              </w:rPr>
              <w:t xml:space="preserve">Место поставки </w:t>
            </w:r>
          </w:p>
        </w:tc>
        <w:tc>
          <w:tcPr>
            <w:tcW w:w="5728" w:type="dxa"/>
            <w:vAlign w:val="center"/>
          </w:tcPr>
          <w:p w14:paraId="13C77848">
            <w:pPr>
              <w:tabs>
                <w:tab w:val="left" w:pos="426"/>
              </w:tabs>
              <w:spacing w:line="216" w:lineRule="auto"/>
              <w:rPr>
                <w:rFonts w:hint="default"/>
                <w:color w:val="2F5597" w:themeColor="accent5" w:themeShade="BF"/>
                <w:szCs w:val="24"/>
                <w:lang w:val="ru-RU"/>
              </w:rPr>
            </w:pPr>
            <w:r>
              <w:rPr>
                <w:color w:val="2F5597" w:themeColor="accent5" w:themeShade="BF"/>
                <w:szCs w:val="24"/>
                <w:lang w:val="ru-RU"/>
              </w:rPr>
              <w:t>АО</w:t>
            </w:r>
            <w:r>
              <w:rPr>
                <w:rFonts w:hint="default"/>
                <w:color w:val="2F5597" w:themeColor="accent5" w:themeShade="BF"/>
                <w:szCs w:val="24"/>
                <w:lang w:val="ru-RU"/>
              </w:rPr>
              <w:t xml:space="preserve"> «Липецкцемент»</w:t>
            </w:r>
          </w:p>
        </w:tc>
      </w:tr>
      <w:tr w14:paraId="7BD5EA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002E2DC0">
            <w:pPr>
              <w:widowControl w:val="0"/>
              <w:jc w:val="center"/>
              <w:rPr>
                <w:szCs w:val="24"/>
              </w:rPr>
            </w:pPr>
            <w:bookmarkStart w:id="9" w:name="МестоРТУ" w:colFirst="2" w:colLast="2"/>
            <w:r>
              <w:rPr>
                <w:szCs w:val="24"/>
              </w:rPr>
              <w:t>6.</w:t>
            </w:r>
          </w:p>
        </w:tc>
        <w:tc>
          <w:tcPr>
            <w:tcW w:w="3685" w:type="dxa"/>
            <w:vAlign w:val="center"/>
          </w:tcPr>
          <w:p w14:paraId="79D2588F">
            <w:pPr>
              <w:widowControl w:val="0"/>
              <w:rPr>
                <w:rFonts w:hint="default"/>
                <w:szCs w:val="24"/>
                <w:lang w:val="ru-RU"/>
              </w:rPr>
            </w:pPr>
            <w:r>
              <w:rPr>
                <w:szCs w:val="24"/>
              </w:rPr>
              <w:t xml:space="preserve">Срок поставки </w:t>
            </w:r>
            <w:r>
              <w:rPr>
                <w:szCs w:val="24"/>
                <w:lang w:val="ru-RU"/>
              </w:rPr>
              <w:t>п</w:t>
            </w:r>
            <w:r>
              <w:rPr>
                <w:szCs w:val="24"/>
              </w:rPr>
              <w:t>родукции</w:t>
            </w:r>
            <w:r>
              <w:rPr>
                <w:rFonts w:hint="default"/>
                <w:szCs w:val="24"/>
                <w:lang w:val="ru-RU"/>
              </w:rPr>
              <w:t>/выполнения работ/оказания услуг</w:t>
            </w:r>
          </w:p>
        </w:tc>
        <w:tc>
          <w:tcPr>
            <w:tcW w:w="5728" w:type="dxa"/>
            <w:vAlign w:val="center"/>
          </w:tcPr>
          <w:p w14:paraId="1D0655C8">
            <w:pPr>
              <w:widowControl w:val="0"/>
              <w:rPr>
                <w:rFonts w:hint="default"/>
                <w:color w:val="2F5597" w:themeColor="accent5" w:themeShade="BF"/>
                <w:szCs w:val="24"/>
                <w:lang w:val="ru-RU"/>
              </w:rPr>
            </w:pPr>
            <w:r>
              <w:rPr>
                <w:rFonts w:hint="default"/>
                <w:color w:val="2F5597" w:themeColor="accent5" w:themeShade="BF"/>
                <w:szCs w:val="24"/>
                <w:lang w:val="ru-RU"/>
              </w:rPr>
              <w:t xml:space="preserve">июль 2024г. В течение 30 календарных дней с даты заключения договора </w:t>
            </w:r>
          </w:p>
        </w:tc>
      </w:tr>
      <w:bookmarkEnd w:id="9"/>
      <w:tr w14:paraId="0E7749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7CEF07FE">
            <w:pPr>
              <w:widowControl w:val="0"/>
              <w:jc w:val="center"/>
              <w:rPr>
                <w:szCs w:val="24"/>
                <w:highlight w:val="none"/>
              </w:rPr>
            </w:pPr>
            <w:bookmarkStart w:id="10" w:name="СрокПоставкиРТУ" w:colFirst="2" w:colLast="2"/>
            <w:r>
              <w:rPr>
                <w:szCs w:val="24"/>
                <w:highlight w:val="none"/>
              </w:rPr>
              <w:t>7.</w:t>
            </w:r>
          </w:p>
        </w:tc>
        <w:tc>
          <w:tcPr>
            <w:tcW w:w="3685" w:type="dxa"/>
            <w:vAlign w:val="center"/>
          </w:tcPr>
          <w:p w14:paraId="5D1278C8">
            <w:pPr>
              <w:widowControl w:val="0"/>
              <w:rPr>
                <w:rFonts w:hint="default"/>
                <w:szCs w:val="24"/>
                <w:highlight w:val="none"/>
                <w:lang w:val="ru-RU"/>
              </w:rPr>
            </w:pPr>
            <w:r>
              <w:rPr>
                <w:szCs w:val="24"/>
                <w:highlight w:val="none"/>
              </w:rPr>
              <w:t xml:space="preserve">Условия </w:t>
            </w:r>
            <w:r>
              <w:rPr>
                <w:szCs w:val="24"/>
                <w:highlight w:val="none"/>
                <w:lang w:val="ru-RU"/>
              </w:rPr>
              <w:t>оплаты</w:t>
            </w:r>
            <w:r>
              <w:rPr>
                <w:szCs w:val="24"/>
                <w:highlight w:val="none"/>
              </w:rPr>
              <w:t xml:space="preserve"> </w:t>
            </w:r>
            <w:r>
              <w:rPr>
                <w:szCs w:val="24"/>
                <w:highlight w:val="none"/>
                <w:lang w:val="ru-RU"/>
              </w:rPr>
              <w:t>п</w:t>
            </w:r>
            <w:r>
              <w:rPr>
                <w:szCs w:val="24"/>
                <w:highlight w:val="none"/>
              </w:rPr>
              <w:t>родукции</w:t>
            </w:r>
            <w:r>
              <w:rPr>
                <w:rFonts w:hint="default"/>
                <w:szCs w:val="24"/>
                <w:highlight w:val="none"/>
                <w:lang w:val="ru-RU"/>
              </w:rPr>
              <w:t>/работ/услуг</w:t>
            </w:r>
          </w:p>
        </w:tc>
        <w:tc>
          <w:tcPr>
            <w:tcW w:w="5728" w:type="dxa"/>
            <w:vAlign w:val="center"/>
          </w:tcPr>
          <w:p w14:paraId="7C81A814">
            <w:pPr>
              <w:widowControl w:val="0"/>
              <w:rPr>
                <w:rFonts w:hint="default"/>
                <w:iCs/>
                <w:color w:val="2F5597" w:themeColor="accent5" w:themeShade="BF"/>
                <w:szCs w:val="24"/>
                <w:highlight w:val="none"/>
                <w:lang w:val="ru-RU"/>
              </w:rPr>
            </w:pPr>
            <w:r>
              <w:rPr>
                <w:rFonts w:hint="default"/>
                <w:iCs/>
                <w:color w:val="2F5597" w:themeColor="accent5" w:themeShade="BF"/>
                <w:szCs w:val="24"/>
                <w:highlight w:val="none"/>
                <w:lang w:val="ru-RU"/>
              </w:rPr>
              <w:t>в течение 30 (тридцати) календарных дней с момента подписания сторонами акта выполненных работ по форме КС-2</w:t>
            </w:r>
          </w:p>
        </w:tc>
      </w:tr>
      <w:tr w14:paraId="54D4E4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1FEB0F2B">
            <w:pPr>
              <w:widowControl w:val="0"/>
              <w:jc w:val="center"/>
              <w:rPr>
                <w:szCs w:val="24"/>
                <w:highlight w:val="none"/>
              </w:rPr>
            </w:pPr>
            <w:r>
              <w:rPr>
                <w:szCs w:val="24"/>
                <w:highlight w:val="none"/>
              </w:rPr>
              <w:t>8.</w:t>
            </w:r>
          </w:p>
        </w:tc>
        <w:tc>
          <w:tcPr>
            <w:tcW w:w="3685" w:type="dxa"/>
            <w:vAlign w:val="center"/>
          </w:tcPr>
          <w:p w14:paraId="3B22F07D">
            <w:pPr>
              <w:widowControl w:val="0"/>
              <w:rPr>
                <w:szCs w:val="24"/>
                <w:highlight w:val="none"/>
              </w:rPr>
            </w:pPr>
            <w:r>
              <w:rPr>
                <w:szCs w:val="24"/>
                <w:highlight w:val="none"/>
              </w:rPr>
              <w:t>Возможность предоставления участником встречных условий поставки, оплаты продукции, места поставки продукции</w:t>
            </w:r>
            <w:r>
              <w:rPr>
                <w:szCs w:val="24"/>
                <w:highlight w:val="none"/>
              </w:rPr>
              <w:tab/>
            </w:r>
          </w:p>
        </w:tc>
        <w:tc>
          <w:tcPr>
            <w:tcW w:w="5728" w:type="dxa"/>
            <w:vAlign w:val="center"/>
          </w:tcPr>
          <w:p w14:paraId="04DF47E1">
            <w:pPr>
              <w:widowControl w:val="0"/>
              <w:rPr>
                <w:i/>
                <w:iCs/>
                <w:color w:val="2F5597" w:themeColor="accent5" w:themeShade="BF"/>
                <w:szCs w:val="24"/>
                <w:highlight w:val="none"/>
              </w:rPr>
            </w:pPr>
            <w:r>
              <w:rPr>
                <w:i/>
                <w:iCs/>
                <w:color w:val="2F5597" w:themeColor="accent5" w:themeShade="BF"/>
                <w:szCs w:val="24"/>
                <w:highlight w:val="none"/>
              </w:rPr>
              <w:t>Допускается</w:t>
            </w:r>
            <w:r>
              <w:rPr>
                <w:i/>
                <w:iCs/>
                <w:color w:val="2F5597" w:themeColor="accent5" w:themeShade="BF"/>
                <w:szCs w:val="24"/>
                <w:highlight w:val="none"/>
                <w:u w:val="none"/>
              </w:rPr>
              <w:t>/не допускается</w:t>
            </w:r>
          </w:p>
        </w:tc>
      </w:tr>
      <w:bookmarkEnd w:id="10"/>
      <w:tr w14:paraId="66EBE1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5187701A">
            <w:pPr>
              <w:widowControl w:val="0"/>
              <w:jc w:val="center"/>
              <w:rPr>
                <w:szCs w:val="24"/>
                <w:lang w:val="en-US"/>
              </w:rPr>
            </w:pPr>
            <w:bookmarkStart w:id="11" w:name="ТребованияПервыхЧастей3" w:colFirst="2" w:colLast="2"/>
            <w:r>
              <w:rPr>
                <w:szCs w:val="24"/>
              </w:rPr>
              <w:t>9.</w:t>
            </w:r>
          </w:p>
        </w:tc>
        <w:tc>
          <w:tcPr>
            <w:tcW w:w="3685" w:type="dxa"/>
            <w:vAlign w:val="center"/>
          </w:tcPr>
          <w:p w14:paraId="4E184844">
            <w:pPr>
              <w:widowControl w:val="0"/>
              <w:rPr>
                <w:szCs w:val="24"/>
              </w:rPr>
            </w:pPr>
            <w:r>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14:paraId="69559996">
            <w:pPr>
              <w:rPr>
                <w:rFonts w:hint="default"/>
                <w:color w:val="2F5597" w:themeColor="accent5" w:themeShade="BF"/>
                <w:szCs w:val="24"/>
                <w:highlight w:val="yellow"/>
                <w:lang w:val="ru-RU"/>
              </w:rPr>
            </w:pPr>
            <w:r>
              <w:rPr>
                <w:rFonts w:hint="default"/>
                <w:color w:val="2F5597" w:themeColor="accent5" w:themeShade="BF"/>
                <w:szCs w:val="24"/>
                <w:highlight w:val="yellow"/>
                <w:lang w:val="ru-RU"/>
              </w:rPr>
              <w:t>-</w:t>
            </w:r>
          </w:p>
        </w:tc>
      </w:tr>
      <w:bookmarkEnd w:id="11"/>
      <w:tr w14:paraId="298389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9" w:type="dxa"/>
            <w:vAlign w:val="center"/>
          </w:tcPr>
          <w:p w14:paraId="40801683">
            <w:pPr>
              <w:widowControl w:val="0"/>
              <w:jc w:val="center"/>
              <w:rPr>
                <w:szCs w:val="24"/>
              </w:rPr>
            </w:pPr>
            <w:r>
              <w:rPr>
                <w:szCs w:val="24"/>
              </w:rPr>
              <w:t>10.</w:t>
            </w:r>
          </w:p>
        </w:tc>
        <w:tc>
          <w:tcPr>
            <w:tcW w:w="3685" w:type="dxa"/>
          </w:tcPr>
          <w:p w14:paraId="09289E71">
            <w:pPr>
              <w:widowControl w:val="0"/>
              <w:rPr>
                <w:bCs/>
                <w:szCs w:val="24"/>
              </w:rPr>
            </w:pPr>
            <w:r>
              <w:rPr>
                <w:bCs/>
                <w:szCs w:val="24"/>
              </w:rPr>
              <w:t>Дата начала – дата и время окончания срока подачи заявок</w:t>
            </w:r>
            <w:r>
              <w:rPr>
                <w:bCs/>
                <w:szCs w:val="24"/>
              </w:rPr>
              <w:tab/>
            </w:r>
            <w:r>
              <w:rPr>
                <w:bCs/>
                <w:szCs w:val="24"/>
              </w:rPr>
              <w:tab/>
            </w:r>
          </w:p>
        </w:tc>
        <w:tc>
          <w:tcPr>
            <w:tcW w:w="5728" w:type="dxa"/>
            <w:shd w:val="clear" w:color="auto" w:fill="auto"/>
            <w:vAlign w:val="center"/>
          </w:tcPr>
          <w:p w14:paraId="01AF32DA">
            <w:pPr>
              <w:tabs>
                <w:tab w:val="left" w:pos="360"/>
              </w:tabs>
              <w:spacing w:line="216" w:lineRule="auto"/>
              <w:ind w:firstLine="342"/>
              <w:jc w:val="both"/>
              <w:rPr>
                <w:color w:val="2F5597" w:themeColor="accent5" w:themeShade="BF"/>
                <w:szCs w:val="24"/>
              </w:rPr>
            </w:pPr>
            <w:r>
              <w:rPr>
                <w:bCs/>
                <w:color w:val="2F5597" w:themeColor="accent5" w:themeShade="BF"/>
                <w:szCs w:val="24"/>
              </w:rPr>
              <w:t xml:space="preserve">Заявки подаются с </w:t>
            </w:r>
            <w:r>
              <w:rPr>
                <w:rFonts w:hint="default"/>
                <w:bCs/>
                <w:color w:val="2F5597" w:themeColor="accent5" w:themeShade="BF"/>
                <w:szCs w:val="24"/>
                <w:lang w:val="ru-RU"/>
              </w:rPr>
              <w:t>27.06.</w:t>
            </w:r>
            <w:r>
              <w:rPr>
                <w:bCs/>
                <w:color w:val="2F5597" w:themeColor="accent5" w:themeShade="BF"/>
                <w:szCs w:val="24"/>
              </w:rPr>
              <w:t>20</w:t>
            </w:r>
            <w:r>
              <w:rPr>
                <w:rFonts w:hint="default"/>
                <w:bCs/>
                <w:color w:val="2F5597" w:themeColor="accent5" w:themeShade="BF"/>
                <w:szCs w:val="24"/>
                <w:lang w:val="ru-RU"/>
              </w:rPr>
              <w:t>24</w:t>
            </w:r>
            <w:r>
              <w:rPr>
                <w:bCs/>
                <w:color w:val="2F5597" w:themeColor="accent5" w:themeShade="BF"/>
                <w:szCs w:val="24"/>
              </w:rPr>
              <w:t xml:space="preserve"> г. по </w:t>
            </w:r>
            <w:r>
              <w:rPr>
                <w:rFonts w:hint="default"/>
                <w:bCs/>
                <w:color w:val="2F5597" w:themeColor="accent5" w:themeShade="BF"/>
                <w:szCs w:val="24"/>
                <w:lang w:val="ru-RU"/>
              </w:rPr>
              <w:t>05.07.</w:t>
            </w:r>
            <w:r>
              <w:rPr>
                <w:bCs/>
                <w:color w:val="2F5597" w:themeColor="accent5" w:themeShade="BF"/>
                <w:szCs w:val="24"/>
              </w:rPr>
              <w:t>20</w:t>
            </w:r>
            <w:r>
              <w:rPr>
                <w:rFonts w:hint="default"/>
                <w:bCs/>
                <w:color w:val="2F5597" w:themeColor="accent5" w:themeShade="BF"/>
                <w:szCs w:val="24"/>
                <w:lang w:val="ru-RU"/>
              </w:rPr>
              <w:t>24</w:t>
            </w:r>
            <w:r>
              <w:rPr>
                <w:bCs/>
                <w:color w:val="2F5597" w:themeColor="accent5" w:themeShade="BF"/>
                <w:szCs w:val="24"/>
              </w:rPr>
              <w:t>г. до «</w:t>
            </w:r>
            <w:r>
              <w:rPr>
                <w:rFonts w:hint="default"/>
                <w:bCs/>
                <w:color w:val="2F5597" w:themeColor="accent5" w:themeShade="BF"/>
                <w:szCs w:val="24"/>
                <w:lang w:val="ru-RU"/>
              </w:rPr>
              <w:t>10</w:t>
            </w:r>
            <w:r>
              <w:rPr>
                <w:bCs/>
                <w:color w:val="2F5597" w:themeColor="accent5" w:themeShade="BF"/>
                <w:szCs w:val="24"/>
              </w:rPr>
              <w:t>» ч. «</w:t>
            </w:r>
            <w:r>
              <w:rPr>
                <w:rFonts w:hint="default"/>
                <w:bCs/>
                <w:color w:val="2F5597" w:themeColor="accent5" w:themeShade="BF"/>
                <w:szCs w:val="24"/>
                <w:lang w:val="ru-RU"/>
              </w:rPr>
              <w:t>00</w:t>
            </w:r>
            <w:r>
              <w:rPr>
                <w:bCs/>
                <w:color w:val="2F5597" w:themeColor="accent5" w:themeShade="BF"/>
                <w:szCs w:val="24"/>
              </w:rPr>
              <w:t xml:space="preserve">» мин. по московскому времени. </w:t>
            </w:r>
          </w:p>
        </w:tc>
      </w:tr>
      <w:tr w14:paraId="5B0397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14:paraId="4C2A19F8">
            <w:pPr>
              <w:widowControl w:val="0"/>
              <w:jc w:val="center"/>
              <w:rPr>
                <w:szCs w:val="24"/>
              </w:rPr>
            </w:pPr>
            <w:bookmarkStart w:id="12" w:name="ТребованияПервыхЧастей_2_1" w:colFirst="1" w:colLast="1"/>
            <w:bookmarkStart w:id="13" w:name="ТребованияПервыхЧастей_2_2" w:colFirst="2" w:colLast="2"/>
            <w:r>
              <w:rPr>
                <w:szCs w:val="24"/>
              </w:rPr>
              <w:t>19.</w:t>
            </w:r>
          </w:p>
        </w:tc>
        <w:tc>
          <w:tcPr>
            <w:tcW w:w="3685" w:type="dxa"/>
          </w:tcPr>
          <w:p w14:paraId="4A7E6601">
            <w:pPr>
              <w:widowControl w:val="0"/>
              <w:rPr>
                <w:bCs/>
                <w:szCs w:val="24"/>
              </w:rPr>
            </w:pPr>
            <w:r>
              <w:rPr>
                <w:bCs/>
                <w:szCs w:val="24"/>
              </w:rPr>
              <w:t xml:space="preserve">Дата оценки и сопоставления, подведения итогов закупки </w:t>
            </w:r>
          </w:p>
          <w:p w14:paraId="6FBEAB88">
            <w:pPr>
              <w:widowControl w:val="0"/>
              <w:rPr>
                <w:szCs w:val="24"/>
              </w:rPr>
            </w:pPr>
            <w:r>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Pr>
                <w:bCs/>
                <w:szCs w:val="24"/>
              </w:rPr>
              <w:tab/>
            </w:r>
            <w:r>
              <w:rPr>
                <w:bCs/>
                <w:szCs w:val="24"/>
              </w:rPr>
              <w:tab/>
            </w:r>
          </w:p>
        </w:tc>
        <w:tc>
          <w:tcPr>
            <w:tcW w:w="5728" w:type="dxa"/>
            <w:shd w:val="clear" w:color="auto" w:fill="auto"/>
            <w:vAlign w:val="center"/>
          </w:tcPr>
          <w:p w14:paraId="22297F90">
            <w:pPr>
              <w:tabs>
                <w:tab w:val="left" w:pos="360"/>
              </w:tabs>
              <w:ind w:firstLine="342"/>
              <w:jc w:val="both"/>
              <w:rPr>
                <w:rFonts w:hint="default"/>
                <w:color w:val="2F5597" w:themeColor="accent5" w:themeShade="BF"/>
                <w:szCs w:val="24"/>
                <w:lang w:val="ru-RU"/>
              </w:rPr>
            </w:pPr>
            <w:r>
              <w:rPr>
                <w:rFonts w:hint="default"/>
                <w:color w:val="2F5597" w:themeColor="accent5" w:themeShade="BF"/>
                <w:szCs w:val="24"/>
                <w:lang w:val="ru-RU"/>
              </w:rPr>
              <w:t>15.07.2024г.</w:t>
            </w:r>
          </w:p>
        </w:tc>
      </w:tr>
      <w:bookmarkEnd w:id="12"/>
      <w:bookmarkEnd w:id="13"/>
    </w:tbl>
    <w:p w14:paraId="2A325E8B">
      <w:pPr>
        <w:jc w:val="center"/>
        <w:rPr>
          <w:b/>
          <w:sz w:val="28"/>
          <w:szCs w:val="28"/>
          <w:lang w:eastAsia="zh-CN"/>
        </w:rPr>
      </w:pPr>
    </w:p>
    <w:p w14:paraId="0D4AE6F1">
      <w:pPr>
        <w:jc w:val="center"/>
        <w:rPr>
          <w:b/>
          <w:sz w:val="28"/>
          <w:szCs w:val="28"/>
          <w:lang w:eastAsia="zh-CN"/>
        </w:rPr>
      </w:pPr>
    </w:p>
    <w:p w14:paraId="6406D0F8">
      <w:pPr>
        <w:jc w:val="center"/>
        <w:rPr>
          <w:b/>
          <w:sz w:val="28"/>
          <w:szCs w:val="28"/>
          <w:lang w:eastAsia="zh-CN"/>
        </w:rPr>
      </w:pPr>
    </w:p>
    <w:p w14:paraId="2215E854">
      <w:pPr>
        <w:jc w:val="center"/>
        <w:rPr>
          <w:b/>
          <w:sz w:val="28"/>
          <w:szCs w:val="28"/>
          <w:lang w:eastAsia="zh-CN"/>
        </w:rPr>
      </w:pPr>
    </w:p>
    <w:p w14:paraId="02E94EA1">
      <w:pPr>
        <w:jc w:val="center"/>
        <w:rPr>
          <w:b/>
          <w:sz w:val="28"/>
          <w:szCs w:val="28"/>
          <w:lang w:eastAsia="zh-CN"/>
        </w:rPr>
      </w:pPr>
    </w:p>
    <w:p w14:paraId="358CE96E">
      <w:pPr>
        <w:jc w:val="center"/>
        <w:rPr>
          <w:b/>
          <w:sz w:val="28"/>
          <w:szCs w:val="28"/>
          <w:lang w:eastAsia="zh-CN"/>
        </w:rPr>
      </w:pPr>
    </w:p>
    <w:p w14:paraId="4DA287A3">
      <w:pPr>
        <w:jc w:val="center"/>
        <w:rPr>
          <w:b/>
          <w:sz w:val="28"/>
          <w:szCs w:val="28"/>
          <w:lang w:eastAsia="zh-CN"/>
        </w:rPr>
      </w:pPr>
    </w:p>
    <w:p w14:paraId="4A12281B">
      <w:pPr>
        <w:jc w:val="center"/>
        <w:rPr>
          <w:b/>
          <w:sz w:val="28"/>
          <w:szCs w:val="28"/>
          <w:lang w:eastAsia="zh-CN"/>
        </w:rPr>
      </w:pPr>
    </w:p>
    <w:p w14:paraId="7A1DE37A">
      <w:pPr>
        <w:jc w:val="center"/>
        <w:rPr>
          <w:b/>
          <w:sz w:val="28"/>
          <w:szCs w:val="28"/>
          <w:lang w:eastAsia="zh-CN"/>
        </w:rPr>
      </w:pPr>
    </w:p>
    <w:p w14:paraId="602D5E5A">
      <w:pPr>
        <w:jc w:val="center"/>
        <w:rPr>
          <w:b/>
          <w:sz w:val="28"/>
          <w:szCs w:val="28"/>
          <w:lang w:eastAsia="zh-CN"/>
        </w:rPr>
      </w:pPr>
    </w:p>
    <w:p w14:paraId="7B664BB7">
      <w:pPr>
        <w:jc w:val="center"/>
        <w:rPr>
          <w:b/>
          <w:sz w:val="28"/>
          <w:szCs w:val="28"/>
          <w:lang w:eastAsia="zh-CN"/>
        </w:rPr>
      </w:pPr>
    </w:p>
    <w:p w14:paraId="112A6FD5">
      <w:pPr>
        <w:jc w:val="center"/>
        <w:rPr>
          <w:b/>
          <w:sz w:val="28"/>
          <w:szCs w:val="28"/>
          <w:lang w:eastAsia="zh-CN"/>
        </w:rPr>
      </w:pPr>
    </w:p>
    <w:p w14:paraId="5A372BC0">
      <w:pPr>
        <w:jc w:val="center"/>
        <w:rPr>
          <w:b/>
          <w:sz w:val="28"/>
          <w:szCs w:val="28"/>
          <w:lang w:eastAsia="zh-CN"/>
        </w:rPr>
      </w:pPr>
    </w:p>
    <w:p w14:paraId="2C3E6EFD">
      <w:pPr>
        <w:jc w:val="center"/>
        <w:rPr>
          <w:b/>
          <w:sz w:val="28"/>
          <w:szCs w:val="28"/>
          <w:lang w:eastAsia="zh-CN"/>
        </w:rPr>
      </w:pPr>
    </w:p>
    <w:p w14:paraId="1A8CB3AB">
      <w:pPr>
        <w:jc w:val="center"/>
        <w:rPr>
          <w:b/>
          <w:sz w:val="28"/>
          <w:szCs w:val="28"/>
          <w:lang w:eastAsia="zh-CN"/>
        </w:rPr>
      </w:pPr>
    </w:p>
    <w:p w14:paraId="1626BF2D">
      <w:pPr>
        <w:jc w:val="center"/>
        <w:rPr>
          <w:b/>
          <w:sz w:val="28"/>
          <w:szCs w:val="28"/>
          <w:lang w:eastAsia="zh-CN"/>
        </w:rPr>
      </w:pPr>
    </w:p>
    <w:p w14:paraId="1EC8C115">
      <w:pPr>
        <w:jc w:val="center"/>
        <w:rPr>
          <w:b/>
          <w:sz w:val="28"/>
          <w:szCs w:val="28"/>
          <w:lang w:eastAsia="zh-CN"/>
        </w:rPr>
      </w:pPr>
    </w:p>
    <w:p w14:paraId="33102C83">
      <w:pPr>
        <w:jc w:val="center"/>
        <w:rPr>
          <w:b/>
          <w:sz w:val="28"/>
          <w:szCs w:val="28"/>
          <w:lang w:eastAsia="zh-CN"/>
        </w:rPr>
      </w:pPr>
    </w:p>
    <w:p w14:paraId="30F51858">
      <w:pPr>
        <w:jc w:val="center"/>
        <w:rPr>
          <w:b/>
          <w:sz w:val="28"/>
          <w:szCs w:val="28"/>
          <w:lang w:eastAsia="zh-CN"/>
        </w:rPr>
      </w:pPr>
    </w:p>
    <w:p w14:paraId="197841BF">
      <w:pPr>
        <w:jc w:val="center"/>
        <w:rPr>
          <w:b/>
          <w:sz w:val="28"/>
          <w:szCs w:val="28"/>
          <w:lang w:eastAsia="zh-CN"/>
        </w:rPr>
      </w:pPr>
    </w:p>
    <w:p w14:paraId="627218FC">
      <w:pPr>
        <w:jc w:val="center"/>
        <w:rPr>
          <w:b/>
          <w:sz w:val="28"/>
          <w:szCs w:val="28"/>
          <w:lang w:eastAsia="zh-CN"/>
        </w:rPr>
      </w:pPr>
    </w:p>
    <w:p w14:paraId="487B336B">
      <w:pPr>
        <w:jc w:val="center"/>
        <w:rPr>
          <w:b/>
          <w:sz w:val="28"/>
          <w:szCs w:val="28"/>
          <w:lang w:eastAsia="zh-CN"/>
        </w:rPr>
      </w:pPr>
    </w:p>
    <w:p w14:paraId="16B020B0">
      <w:pPr>
        <w:jc w:val="center"/>
        <w:rPr>
          <w:b/>
          <w:sz w:val="28"/>
          <w:szCs w:val="28"/>
          <w:lang w:eastAsia="zh-CN"/>
        </w:rPr>
      </w:pPr>
    </w:p>
    <w:p w14:paraId="30980C2D">
      <w:pPr>
        <w:jc w:val="center"/>
        <w:rPr>
          <w:b/>
          <w:sz w:val="28"/>
          <w:szCs w:val="28"/>
          <w:lang w:eastAsia="zh-CN"/>
        </w:rPr>
      </w:pPr>
    </w:p>
    <w:p w14:paraId="7E3224CC">
      <w:pPr>
        <w:jc w:val="center"/>
        <w:rPr>
          <w:b/>
          <w:sz w:val="28"/>
          <w:szCs w:val="28"/>
          <w:lang w:eastAsia="zh-CN"/>
        </w:rPr>
      </w:pPr>
    </w:p>
    <w:p w14:paraId="2B196170">
      <w:pPr>
        <w:jc w:val="center"/>
        <w:rPr>
          <w:b/>
          <w:sz w:val="28"/>
          <w:szCs w:val="28"/>
          <w:lang w:eastAsia="zh-CN"/>
        </w:rPr>
      </w:pPr>
    </w:p>
    <w:p w14:paraId="3FD1505E">
      <w:pPr>
        <w:jc w:val="center"/>
        <w:rPr>
          <w:b/>
          <w:sz w:val="28"/>
          <w:szCs w:val="28"/>
          <w:lang w:eastAsia="zh-CN"/>
        </w:rPr>
      </w:pPr>
    </w:p>
    <w:p w14:paraId="29DD8B5E">
      <w:pPr>
        <w:jc w:val="center"/>
        <w:rPr>
          <w:b/>
          <w:sz w:val="28"/>
          <w:szCs w:val="28"/>
          <w:lang w:eastAsia="zh-CN"/>
        </w:rPr>
      </w:pPr>
    </w:p>
    <w:p w14:paraId="4DD6AB77">
      <w:pPr>
        <w:jc w:val="center"/>
        <w:rPr>
          <w:b/>
          <w:sz w:val="28"/>
          <w:szCs w:val="28"/>
          <w:lang w:eastAsia="zh-CN"/>
        </w:rPr>
      </w:pPr>
    </w:p>
    <w:p w14:paraId="7EEA2F85">
      <w:pPr>
        <w:jc w:val="center"/>
        <w:rPr>
          <w:b/>
          <w:sz w:val="28"/>
          <w:szCs w:val="28"/>
          <w:lang w:eastAsia="zh-CN"/>
        </w:rPr>
      </w:pPr>
    </w:p>
    <w:p w14:paraId="4844AA85">
      <w:pPr>
        <w:jc w:val="center"/>
        <w:rPr>
          <w:b/>
          <w:sz w:val="28"/>
          <w:szCs w:val="28"/>
          <w:lang w:eastAsia="zh-CN"/>
        </w:rPr>
      </w:pPr>
    </w:p>
    <w:p w14:paraId="11497B4F">
      <w:pPr>
        <w:jc w:val="center"/>
        <w:rPr>
          <w:b/>
          <w:sz w:val="28"/>
          <w:szCs w:val="28"/>
          <w:lang w:eastAsia="zh-CN"/>
        </w:rPr>
      </w:pPr>
    </w:p>
    <w:p w14:paraId="69F46E1D">
      <w:pPr>
        <w:jc w:val="center"/>
        <w:rPr>
          <w:b/>
          <w:sz w:val="28"/>
          <w:szCs w:val="28"/>
          <w:lang w:eastAsia="zh-CN"/>
        </w:rPr>
      </w:pPr>
    </w:p>
    <w:p w14:paraId="758A3EB2">
      <w:pPr>
        <w:jc w:val="center"/>
        <w:rPr>
          <w:b/>
          <w:sz w:val="28"/>
          <w:szCs w:val="28"/>
          <w:lang w:eastAsia="zh-CN"/>
        </w:rPr>
      </w:pPr>
    </w:p>
    <w:p w14:paraId="67088655">
      <w:pPr>
        <w:jc w:val="center"/>
        <w:rPr>
          <w:b/>
          <w:sz w:val="28"/>
          <w:szCs w:val="28"/>
          <w:lang w:eastAsia="zh-CN"/>
        </w:rPr>
      </w:pPr>
    </w:p>
    <w:p w14:paraId="6C142753">
      <w:pPr>
        <w:jc w:val="center"/>
        <w:rPr>
          <w:b/>
          <w:sz w:val="28"/>
          <w:szCs w:val="28"/>
          <w:lang w:eastAsia="zh-CN"/>
        </w:rPr>
      </w:pPr>
    </w:p>
    <w:p w14:paraId="448DABEF">
      <w:pPr>
        <w:jc w:val="center"/>
        <w:rPr>
          <w:b/>
          <w:sz w:val="28"/>
          <w:szCs w:val="28"/>
          <w:lang w:eastAsia="zh-CN"/>
        </w:rPr>
      </w:pPr>
    </w:p>
    <w:p w14:paraId="323BBC96">
      <w:pPr>
        <w:jc w:val="center"/>
        <w:rPr>
          <w:b/>
          <w:sz w:val="28"/>
          <w:szCs w:val="28"/>
          <w:lang w:eastAsia="zh-CN"/>
        </w:rPr>
      </w:pPr>
    </w:p>
    <w:p w14:paraId="763179A9">
      <w:pPr>
        <w:jc w:val="center"/>
        <w:rPr>
          <w:b/>
          <w:sz w:val="28"/>
          <w:szCs w:val="28"/>
          <w:lang w:eastAsia="zh-CN"/>
        </w:rPr>
      </w:pPr>
    </w:p>
    <w:p w14:paraId="2D996ED9">
      <w:pPr>
        <w:jc w:val="center"/>
        <w:rPr>
          <w:b/>
          <w:sz w:val="28"/>
          <w:szCs w:val="28"/>
          <w:lang w:eastAsia="zh-CN"/>
        </w:rPr>
      </w:pPr>
    </w:p>
    <w:p w14:paraId="43A5A194">
      <w:pPr>
        <w:jc w:val="center"/>
        <w:rPr>
          <w:b/>
          <w:sz w:val="28"/>
          <w:szCs w:val="28"/>
          <w:lang w:eastAsia="zh-CN"/>
        </w:rPr>
      </w:pPr>
      <w:r>
        <w:rPr>
          <w:b/>
          <w:sz w:val="28"/>
          <w:szCs w:val="28"/>
          <w:lang w:eastAsia="zh-CN"/>
        </w:rPr>
        <w:t>ИНСТРУКЦИЯ УЧАСТНИКАМ ЗАКУПКИ</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8"/>
        <w:gridCol w:w="6371"/>
      </w:tblGrid>
      <w:tr w14:paraId="55771C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8" w:type="dxa"/>
            <w:shd w:val="clear" w:color="auto" w:fill="auto"/>
          </w:tcPr>
          <w:p w14:paraId="0F32C4E9">
            <w:pPr>
              <w:pStyle w:val="16"/>
              <w:numPr>
                <w:ilvl w:val="0"/>
                <w:numId w:val="3"/>
              </w:numPr>
              <w:spacing w:after="0" w:line="240" w:lineRule="auto"/>
              <w:ind w:left="459" w:hanging="283"/>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Общие положения</w:t>
            </w:r>
          </w:p>
        </w:tc>
        <w:tc>
          <w:tcPr>
            <w:tcW w:w="6371" w:type="dxa"/>
            <w:shd w:val="clear" w:color="auto" w:fill="auto"/>
          </w:tcPr>
          <w:p w14:paraId="799DDDBB">
            <w:pPr>
              <w:ind w:firstLine="346"/>
              <w:jc w:val="both"/>
              <w:rPr>
                <w:color w:val="595959" w:themeColor="text1" w:themeTint="A6"/>
                <w:szCs w:val="24"/>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договора с Победителем Закупочной процедуры или иными ее Участниками.</w:t>
            </w:r>
          </w:p>
        </w:tc>
      </w:tr>
      <w:tr w14:paraId="67E685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2ABE6B49">
            <w:pPr>
              <w:numPr>
                <w:ilvl w:val="0"/>
                <w:numId w:val="3"/>
              </w:numPr>
              <w:ind w:left="459" w:hanging="283"/>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Оператор электронной торговой площадки</w:t>
            </w:r>
          </w:p>
        </w:tc>
        <w:tc>
          <w:tcPr>
            <w:tcW w:w="6371" w:type="dxa"/>
            <w:shd w:val="clear" w:color="auto" w:fill="auto"/>
          </w:tcPr>
          <w:p w14:paraId="0091F8B9">
            <w:pPr>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xml:space="preserve">     Настоящая Закупка проводится в соответствии с правилами и регламентом, а также с использованием функционала электронной площадки </w:t>
            </w:r>
            <w:r>
              <w:rPr>
                <w:i/>
                <w:color w:val="595959" w:themeColor="text1" w:themeTint="A6"/>
                <w:szCs w:val="24"/>
                <w14:textFill>
                  <w14:solidFill>
                    <w14:schemeClr w14:val="tx1">
                      <w14:lumMod w14:val="65000"/>
                      <w14:lumOff w14:val="35000"/>
                    </w14:schemeClr>
                  </w14:solidFill>
                </w14:textFill>
              </w:rPr>
              <w:t>«</w:t>
            </w:r>
            <w:r>
              <w:rPr>
                <w:i/>
                <w:color w:val="595959" w:themeColor="text1" w:themeTint="A6"/>
                <w:szCs w:val="24"/>
                <w:lang w:val="ru-RU"/>
                <w14:textFill>
                  <w14:solidFill>
                    <w14:schemeClr w14:val="tx1">
                      <w14:lumMod w14:val="65000"/>
                      <w14:lumOff w14:val="35000"/>
                    </w14:schemeClr>
                  </w14:solidFill>
                </w14:textFill>
              </w:rPr>
              <w:t>РосЭлТорг</w:t>
            </w:r>
            <w:r>
              <w:rPr>
                <w:rFonts w:hint="default"/>
                <w:i/>
                <w:color w:val="595959" w:themeColor="text1" w:themeTint="A6"/>
                <w:szCs w:val="24"/>
                <w:lang w:val="ru-RU"/>
                <w14:textFill>
                  <w14:solidFill>
                    <w14:schemeClr w14:val="tx1">
                      <w14:lumMod w14:val="65000"/>
                      <w14:lumOff w14:val="35000"/>
                    </w14:schemeClr>
                  </w14:solidFill>
                </w14:textFill>
              </w:rPr>
              <w:t>.Бизнес</w:t>
            </w:r>
            <w:r>
              <w:rPr>
                <w:i/>
                <w:color w:val="595959" w:themeColor="text1" w:themeTint="A6"/>
                <w:szCs w:val="24"/>
                <w14:textFill>
                  <w14:solidFill>
                    <w14:schemeClr w14:val="tx1">
                      <w14:lumMod w14:val="65000"/>
                      <w14:lumOff w14:val="35000"/>
                    </w14:schemeClr>
                  </w14:solidFill>
                </w14:textFill>
              </w:rPr>
              <w:t>»</w:t>
            </w:r>
            <w:r>
              <w:rPr>
                <w:color w:val="595959" w:themeColor="text1" w:themeTint="A6"/>
                <w:szCs w:val="24"/>
                <w14:textFill>
                  <w14:solidFill>
                    <w14:schemeClr w14:val="tx1">
                      <w14:lumMod w14:val="65000"/>
                      <w14:lumOff w14:val="35000"/>
                    </w14:schemeClr>
                  </w14:solidFill>
                </w14:textFill>
              </w:rPr>
              <w:t xml:space="preserve"> в информационно-телекоммуникационной сети «Интернет» по адресу: </w:t>
            </w:r>
            <w:r>
              <w:rPr>
                <w:i/>
                <w:color w:val="595959" w:themeColor="text1" w:themeTint="A6"/>
                <w:szCs w:val="24"/>
                <w14:textFill>
                  <w14:solidFill>
                    <w14:schemeClr w14:val="tx1">
                      <w14:lumMod w14:val="65000"/>
                      <w14:lumOff w14:val="35000"/>
                    </w14:schemeClr>
                  </w14:solidFill>
                </w14:textFill>
              </w:rPr>
              <w:t>«</w:t>
            </w:r>
            <w:r>
              <w:rPr>
                <w:rStyle w:val="6"/>
                <w:rFonts w:hint="default"/>
                <w:color w:val="595959" w:themeColor="text1" w:themeTint="A6"/>
                <w:szCs w:val="24"/>
                <w:highlight w:val="none"/>
                <w14:textFill>
                  <w14:solidFill>
                    <w14:schemeClr w14:val="tx1">
                      <w14:lumMod w14:val="65000"/>
                      <w14:lumOff w14:val="35000"/>
                    </w14:schemeClr>
                  </w14:solidFill>
                </w14:textFill>
              </w:rPr>
              <w:t>https://business.roseltorg.ru/</w:t>
            </w:r>
            <w:bookmarkStart w:id="17" w:name="_GoBack"/>
            <w:bookmarkEnd w:id="17"/>
            <w:r>
              <w:rPr>
                <w:i/>
                <w:color w:val="595959" w:themeColor="text1" w:themeTint="A6"/>
                <w:szCs w:val="24"/>
                <w14:textFill>
                  <w14:solidFill>
                    <w14:schemeClr w14:val="tx1">
                      <w14:lumMod w14:val="65000"/>
                      <w14:lumOff w14:val="35000"/>
                    </w14:schemeClr>
                  </w14:solidFill>
                </w14:textFill>
              </w:rPr>
              <w:t>»</w:t>
            </w:r>
          </w:p>
        </w:tc>
      </w:tr>
      <w:tr w14:paraId="1BBAEE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30FB0836">
            <w:pPr>
              <w:pStyle w:val="16"/>
              <w:numPr>
                <w:ilvl w:val="0"/>
                <w:numId w:val="3"/>
              </w:numPr>
              <w:spacing w:after="0" w:line="240" w:lineRule="auto"/>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Внесение изменений, предоставление разъяснений, отказ от проведения Тендера</w:t>
            </w:r>
          </w:p>
        </w:tc>
        <w:tc>
          <w:tcPr>
            <w:tcW w:w="6371" w:type="dxa"/>
            <w:shd w:val="clear" w:color="auto" w:fill="auto"/>
          </w:tcPr>
          <w:p w14:paraId="794D1E9A">
            <w:pPr>
              <w:ind w:firstLine="317"/>
              <w:jc w:val="both"/>
              <w:rPr>
                <w:rFonts w:eastAsiaTheme="majorEastAsia"/>
                <w:color w:val="595959" w:themeColor="text1" w:themeTint="A6"/>
                <w14:textFill>
                  <w14:solidFill>
                    <w14:schemeClr w14:val="tx1">
                      <w14:lumMod w14:val="65000"/>
                      <w14:lumOff w14:val="35000"/>
                    </w14:schemeClr>
                  </w14:solidFill>
                </w14:textFill>
              </w:rPr>
            </w:pPr>
            <w:r>
              <w:rPr>
                <w:rFonts w:eastAsiaTheme="majorEastAsia"/>
                <w:color w:val="595959" w:themeColor="text1" w:themeTint="A6"/>
                <w14:textFill>
                  <w14:solidFill>
                    <w14:schemeClr w14:val="tx1">
                      <w14:lumMod w14:val="65000"/>
                      <w14:lumOff w14:val="35000"/>
                    </w14:schemeClr>
                  </w14:solidFill>
                </w14:textFill>
              </w:rPr>
              <w:t>Организатор Закупки 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w:t>
            </w:r>
          </w:p>
          <w:p w14:paraId="28BF90A6">
            <w:pPr>
              <w:ind w:firstLine="317"/>
              <w:jc w:val="both"/>
              <w:rPr>
                <w:color w:val="595959" w:themeColor="text1" w:themeTint="A6"/>
                <w:szCs w:val="24"/>
                <w14:textFill>
                  <w14:solidFill>
                    <w14:schemeClr w14:val="tx1">
                      <w14:lumMod w14:val="65000"/>
                      <w14:lumOff w14:val="35000"/>
                    </w14:schemeClr>
                  </w14:solidFill>
                </w14:textFill>
              </w:rPr>
            </w:pPr>
            <w:r>
              <w:rPr>
                <w:rFonts w:eastAsiaTheme="majorEastAsia"/>
                <w:color w:val="595959" w:themeColor="text1" w:themeTint="A6"/>
                <w14:textFill>
                  <w14:solidFill>
                    <w14:schemeClr w14:val="tx1">
                      <w14:lumMod w14:val="65000"/>
                      <w14:lumOff w14:val="35000"/>
                    </w14:schemeClr>
                  </w14:solidFill>
                </w14:textFill>
              </w:rPr>
              <w:t>Такие изменения официально размещаются Организатором закупки в тех же источниках, что и Извещение</w:t>
            </w:r>
            <w:bookmarkStart w:id="14" w:name="_Toc418282159"/>
            <w:bookmarkEnd w:id="14"/>
            <w:r>
              <w:rPr>
                <w:rFonts w:eastAsiaTheme="majorEastAsia"/>
                <w:color w:val="595959" w:themeColor="text1" w:themeTint="A6"/>
                <w14:textFill>
                  <w14:solidFill>
                    <w14:schemeClr w14:val="tx1">
                      <w14:lumMod w14:val="65000"/>
                      <w14:lumOff w14:val="35000"/>
                    </w14:schemeClr>
                  </w14:solidFill>
                </w14:textFill>
              </w:rPr>
              <w:t>.</w:t>
            </w:r>
          </w:p>
        </w:tc>
      </w:tr>
      <w:tr w14:paraId="0764B4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005FAF59">
            <w:pPr>
              <w:pStyle w:val="16"/>
              <w:numPr>
                <w:ilvl w:val="0"/>
                <w:numId w:val="3"/>
              </w:numPr>
              <w:spacing w:after="0" w:line="240" w:lineRule="auto"/>
              <w:ind w:left="459" w:hanging="283"/>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Общие требования к участникам Тендера</w:t>
            </w:r>
          </w:p>
        </w:tc>
        <w:tc>
          <w:tcPr>
            <w:tcW w:w="6371" w:type="dxa"/>
            <w:shd w:val="clear" w:color="auto" w:fill="auto"/>
          </w:tcPr>
          <w:p w14:paraId="51C0778D">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Участником Процедуры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14:paraId="0BE107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62490DA2">
            <w:pPr>
              <w:pStyle w:val="16"/>
              <w:numPr>
                <w:ilvl w:val="0"/>
                <w:numId w:val="3"/>
              </w:numPr>
              <w:spacing w:after="0" w:line="240" w:lineRule="auto"/>
              <w:ind w:left="601" w:hanging="425"/>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Обязательные требования к участникам тендера</w:t>
            </w:r>
          </w:p>
        </w:tc>
        <w:tc>
          <w:tcPr>
            <w:tcW w:w="6371" w:type="dxa"/>
            <w:shd w:val="clear" w:color="auto" w:fill="auto"/>
          </w:tcPr>
          <w:p w14:paraId="140FBD01">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xml:space="preserve">Участник Закупки должен соответствовать следующим обязательным требованиям: </w:t>
            </w:r>
          </w:p>
          <w:p w14:paraId="1E8B2E9E">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1)</w:t>
            </w:r>
            <w:r>
              <w:rPr>
                <w:color w:val="595959" w:themeColor="text1" w:themeTint="A6"/>
                <w:szCs w:val="24"/>
                <w14:textFill>
                  <w14:solidFill>
                    <w14:schemeClr w14:val="tx1">
                      <w14:lumMod w14:val="65000"/>
                      <w14:lumOff w14:val="35000"/>
                    </w14:schemeClr>
                  </w14:solidFill>
                </w14:textFill>
              </w:rPr>
              <w:tab/>
            </w:r>
            <w:r>
              <w:rPr>
                <w:color w:val="595959" w:themeColor="text1" w:themeTint="A6"/>
                <w:szCs w:val="24"/>
                <w14:textFill>
                  <w14:solidFill>
                    <w14:schemeClr w14:val="tx1">
                      <w14:lumMod w14:val="65000"/>
                      <w14:lumOff w14:val="35000"/>
                    </w14:schemeClr>
                  </w14:solidFill>
                </w14:textFill>
              </w:rPr>
              <w:t>требованиям, установленным законодательством к лицам, осуществляющим поставку Продукции (выполнение работ, оказание услуг), являющихся предметом Закупки, в том числе обладать всеми необходимыми лицензиями и допусками;</w:t>
            </w:r>
          </w:p>
          <w:p w14:paraId="540F3C92">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2)</w:t>
            </w:r>
            <w:r>
              <w:rPr>
                <w:color w:val="595959" w:themeColor="text1" w:themeTint="A6"/>
                <w:szCs w:val="24"/>
                <w14:textFill>
                  <w14:solidFill>
                    <w14:schemeClr w14:val="tx1">
                      <w14:lumMod w14:val="65000"/>
                      <w14:lumOff w14:val="35000"/>
                    </w14:schemeClr>
                  </w14:solidFill>
                </w14:textFill>
              </w:rPr>
              <w:tab/>
            </w:r>
            <w:r>
              <w:rPr>
                <w:color w:val="595959" w:themeColor="text1" w:themeTint="A6"/>
                <w:szCs w:val="24"/>
                <w14:textFill>
                  <w14:solidFill>
                    <w14:schemeClr w14:val="tx1">
                      <w14:lumMod w14:val="65000"/>
                      <w14:lumOff w14:val="35000"/>
                    </w14:schemeClr>
                  </w14:solidFill>
                </w14:textFill>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14:paraId="62B209B0">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3)</w:t>
            </w:r>
            <w:r>
              <w:rPr>
                <w:color w:val="595959" w:themeColor="text1" w:themeTint="A6"/>
                <w:szCs w:val="24"/>
                <w14:textFill>
                  <w14:solidFill>
                    <w14:schemeClr w14:val="tx1">
                      <w14:lumMod w14:val="65000"/>
                      <w14:lumOff w14:val="35000"/>
                    </w14:schemeClr>
                  </w14:solidFill>
                </w14:textFill>
              </w:rPr>
              <w:tab/>
            </w:r>
            <w:r>
              <w:rPr>
                <w:color w:val="595959" w:themeColor="text1" w:themeTint="A6"/>
                <w:szCs w:val="24"/>
                <w14:textFill>
                  <w14:solidFill>
                    <w14:schemeClr w14:val="tx1">
                      <w14:lumMod w14:val="65000"/>
                      <w14:lumOff w14:val="35000"/>
                    </w14:schemeClr>
                  </w14:solidFill>
                </w14:textFill>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45797E56">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4)</w:t>
            </w:r>
            <w:r>
              <w:rPr>
                <w:color w:val="595959" w:themeColor="text1" w:themeTint="A6"/>
                <w:szCs w:val="24"/>
                <w14:textFill>
                  <w14:solidFill>
                    <w14:schemeClr w14:val="tx1">
                      <w14:lumMod w14:val="65000"/>
                      <w14:lumOff w14:val="35000"/>
                    </w14:schemeClr>
                  </w14:solidFill>
                </w14:textFill>
              </w:rPr>
              <w:tab/>
            </w:r>
            <w:r>
              <w:rPr>
                <w:color w:val="595959" w:themeColor="text1" w:themeTint="A6"/>
                <w:szCs w:val="24"/>
                <w14:textFill>
                  <w14:solidFill>
                    <w14:schemeClr w14:val="tx1">
                      <w14:lumMod w14:val="65000"/>
                      <w14:lumOff w14:val="35000"/>
                    </w14:schemeClr>
                  </w14:solidFill>
                </w14:textFill>
              </w:rPr>
              <w:t>Участник не должен быть признан по решению арбитражного суда несостоятельным (банкротом);</w:t>
            </w:r>
          </w:p>
          <w:p w14:paraId="2D4756C7">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5)</w:t>
            </w:r>
            <w:r>
              <w:rPr>
                <w:color w:val="595959" w:themeColor="text1" w:themeTint="A6"/>
                <w:szCs w:val="24"/>
                <w14:textFill>
                  <w14:solidFill>
                    <w14:schemeClr w14:val="tx1">
                      <w14:lumMod w14:val="65000"/>
                      <w14:lumOff w14:val="35000"/>
                    </w14:schemeClr>
                  </w14:solidFill>
                </w14:textFill>
              </w:rPr>
              <w:tab/>
            </w:r>
            <w:r>
              <w:rPr>
                <w:color w:val="595959" w:themeColor="text1" w:themeTint="A6"/>
                <w:szCs w:val="24"/>
                <w14:textFill>
                  <w14:solidFill>
                    <w14:schemeClr w14:val="tx1">
                      <w14:lumMod w14:val="65000"/>
                      <w14:lumOff w14:val="35000"/>
                    </w14:schemeClr>
                  </w14:solidFill>
                </w14:textFill>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10606C">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6)</w:t>
            </w:r>
            <w:r>
              <w:rPr>
                <w:color w:val="595959" w:themeColor="text1" w:themeTint="A6"/>
                <w:szCs w:val="24"/>
                <w14:textFill>
                  <w14:solidFill>
                    <w14:schemeClr w14:val="tx1">
                      <w14:lumMod w14:val="65000"/>
                      <w14:lumOff w14:val="35000"/>
                    </w14:schemeClr>
                  </w14:solidFill>
                </w14:textFill>
              </w:rPr>
              <w:tab/>
            </w:r>
            <w:r>
              <w:rPr>
                <w:color w:val="595959" w:themeColor="text1" w:themeTint="A6"/>
                <w:szCs w:val="24"/>
                <w14:textFill>
                  <w14:solidFill>
                    <w14:schemeClr w14:val="tx1">
                      <w14:lumMod w14:val="65000"/>
                      <w14:lumOff w14:val="35000"/>
                    </w14:schemeClr>
                  </w14:solidFill>
                </w14:textFill>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Продукции, являющейся объектом осуществляемой Закупки, и административное наказание в виде дисквалификации;</w:t>
            </w:r>
          </w:p>
          <w:p w14:paraId="0E69C0C5">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либо приложение в состав заявки письма от Участника с пояснениями о причинах включения его в РНП.</w:t>
            </w:r>
          </w:p>
        </w:tc>
      </w:tr>
      <w:tr w14:paraId="2DF448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6A3DF44A">
            <w:pPr>
              <w:pStyle w:val="16"/>
              <w:spacing w:after="0" w:line="240" w:lineRule="auto"/>
              <w:ind w:left="502" w:firstLine="0"/>
              <w:rPr>
                <w:color w:val="595959" w:themeColor="text1" w:themeTint="A6"/>
                <w:highlight w:val="yellow"/>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6.Дополнительные и квалификационные требования к Участникам Тендера</w:t>
            </w:r>
          </w:p>
        </w:tc>
        <w:tc>
          <w:tcPr>
            <w:tcW w:w="6371" w:type="dxa"/>
            <w:shd w:val="clear" w:color="auto" w:fill="auto"/>
          </w:tcPr>
          <w:p w14:paraId="742D7C07">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1.Наличие необходимых сертификатов на Продукцию, являющихся предметом заключаемого договора, в соответствии с действующим законодательством РФ.</w:t>
            </w:r>
          </w:p>
          <w:p w14:paraId="4CDB61FB">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5483AA03">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3. Отсутствие инициации уполномоченным органом отзыва у Участника лицензии на осуществление деятельности, связанной с предметом Закупки.</w:t>
            </w:r>
          </w:p>
          <w:p w14:paraId="7C261FDF">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4. 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r>
              <w:rPr>
                <w:color w:val="595959" w:themeColor="text1" w:themeTint="A6"/>
                <w14:textFill>
                  <w14:solidFill>
                    <w14:schemeClr w14:val="tx1">
                      <w14:lumMod w14:val="65000"/>
                      <w14:lumOff w14:val="35000"/>
                    </w14:schemeClr>
                  </w14:solidFill>
                </w14:textFill>
              </w:rPr>
              <w:t xml:space="preserve"> </w:t>
            </w:r>
            <w:r>
              <w:rPr>
                <w:color w:val="595959" w:themeColor="text1" w:themeTint="A6"/>
                <w:szCs w:val="24"/>
                <w14:textFill>
                  <w14:solidFill>
                    <w14:schemeClr w14:val="tx1">
                      <w14:lumMod w14:val="65000"/>
                      <w14:lumOff w14:val="35000"/>
                    </w14:schemeClr>
                  </w14:solidFill>
                </w14:textFill>
              </w:rPr>
              <w:t>либо приложение в состав заявки письма от Участника с пояснениями о причинах расторжения договоров.</w:t>
            </w:r>
          </w:p>
          <w:p w14:paraId="63407D7E">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5. Наличие необходимой квалификации у персонала с приложением подтверждающих документов.</w:t>
            </w:r>
          </w:p>
          <w:p w14:paraId="150F00B8">
            <w:pPr>
              <w:ind w:firstLine="317"/>
              <w:jc w:val="both"/>
              <w:rPr>
                <w:i/>
                <w:color w:val="595959" w:themeColor="text1" w:themeTint="A6"/>
                <w:szCs w:val="24"/>
                <w14:textFill>
                  <w14:solidFill>
                    <w14:schemeClr w14:val="tx1">
                      <w14:lumMod w14:val="65000"/>
                      <w14:lumOff w14:val="35000"/>
                    </w14:schemeClr>
                  </w14:solidFill>
                </w14:textFill>
              </w:rPr>
            </w:pPr>
            <w:r>
              <w:rPr>
                <w:color w:val="595959" w:themeColor="text1" w:themeTint="A6"/>
                <w:szCs w:val="24"/>
                <w:lang w:val="en-US"/>
                <w14:textFill>
                  <w14:solidFill>
                    <w14:schemeClr w14:val="tx1">
                      <w14:lumMod w14:val="65000"/>
                      <w14:lumOff w14:val="35000"/>
                    </w14:schemeClr>
                  </w14:solidFill>
                </w14:textFill>
              </w:rPr>
              <w:t>N</w:t>
            </w:r>
            <w:r>
              <w:rPr>
                <w:color w:val="595959" w:themeColor="text1" w:themeTint="A6"/>
                <w:szCs w:val="24"/>
                <w14:textFill>
                  <w14:solidFill>
                    <w14:schemeClr w14:val="tx1">
                      <w14:lumMod w14:val="65000"/>
                      <w14:lumOff w14:val="35000"/>
                    </w14:schemeClr>
                  </w14:solidFill>
                </w14:textFill>
              </w:rPr>
              <w:t xml:space="preserve">. </w:t>
            </w:r>
            <w:r>
              <w:rPr>
                <w:i/>
                <w:color w:val="595959" w:themeColor="text1" w:themeTint="A6"/>
                <w:szCs w:val="24"/>
                <w14:textFill>
                  <w14:solidFill>
                    <w14:schemeClr w14:val="tx1">
                      <w14:lumMod w14:val="65000"/>
                      <w14:lumOff w14:val="35000"/>
                    </w14:schemeClr>
                  </w14:solidFill>
                </w14:textFill>
              </w:rPr>
              <w:t>Заполняется, если есть дополнительные требования____________________________</w:t>
            </w:r>
          </w:p>
          <w:p w14:paraId="087D6A0B">
            <w:pPr>
              <w:ind w:firstLine="317"/>
              <w:jc w:val="both"/>
              <w:rPr>
                <w:color w:val="595959" w:themeColor="text1" w:themeTint="A6"/>
                <w:szCs w:val="24"/>
                <w14:textFill>
                  <w14:solidFill>
                    <w14:schemeClr w14:val="tx1">
                      <w14:lumMod w14:val="65000"/>
                      <w14:lumOff w14:val="35000"/>
                    </w14:schemeClr>
                  </w14:solidFill>
                </w14:textFill>
              </w:rPr>
            </w:pPr>
          </w:p>
        </w:tc>
      </w:tr>
      <w:tr w14:paraId="28BBC2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31692137">
            <w:pPr>
              <w:pStyle w:val="16"/>
              <w:numPr>
                <w:ilvl w:val="0"/>
                <w:numId w:val="4"/>
              </w:numPr>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Требования к условиям оплаты Продукции</w:t>
            </w:r>
          </w:p>
        </w:tc>
        <w:tc>
          <w:tcPr>
            <w:tcW w:w="6371" w:type="dxa"/>
            <w:shd w:val="clear" w:color="auto" w:fill="auto"/>
          </w:tcPr>
          <w:p w14:paraId="602FA178">
            <w:pPr>
              <w:ind w:firstLine="317"/>
              <w:jc w:val="both"/>
              <w:rPr>
                <w:color w:val="595959" w:themeColor="text1" w:themeTint="A6"/>
                <w:szCs w:val="24"/>
                <w14:textFill>
                  <w14:solidFill>
                    <w14:schemeClr w14:val="tx1">
                      <w14:lumMod w14:val="65000"/>
                      <w14:lumOff w14:val="35000"/>
                    </w14:schemeClr>
                  </w14:solidFill>
                </w14:textFill>
              </w:rPr>
            </w:pPr>
          </w:p>
        </w:tc>
      </w:tr>
      <w:tr w14:paraId="5253F3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36BB0AF2">
            <w:pPr>
              <w:pStyle w:val="16"/>
              <w:numPr>
                <w:ilvl w:val="0"/>
                <w:numId w:val="4"/>
              </w:numPr>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Требования к содержанию и составу Заявки на участие в Тендере</w:t>
            </w:r>
          </w:p>
        </w:tc>
        <w:tc>
          <w:tcPr>
            <w:tcW w:w="6371" w:type="dxa"/>
            <w:shd w:val="clear" w:color="auto" w:fill="auto"/>
          </w:tcPr>
          <w:p w14:paraId="48E43159">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Заявка на участие в Тендере должна содержать следующие документы и сведения об Участнике:</w:t>
            </w:r>
          </w:p>
          <w:p w14:paraId="5311BC02">
            <w:pPr>
              <w:pStyle w:val="16"/>
              <w:numPr>
                <w:ilvl w:val="0"/>
                <w:numId w:val="5"/>
              </w:numPr>
              <w:ind w:left="28" w:firstLine="289"/>
              <w:jc w:val="both"/>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Заявку, указывающую на согласие участвовать в Тендере (в соответствии с Формой, установленной в Извещении)</w:t>
            </w:r>
          </w:p>
          <w:p w14:paraId="719A7445">
            <w:pPr>
              <w:pStyle w:val="16"/>
              <w:ind w:left="28" w:firstLine="289"/>
              <w:jc w:val="both"/>
              <w:rPr>
                <w:b/>
                <w:color w:val="595959" w:themeColor="text1" w:themeTint="A6"/>
                <w:lang w:val="en-US"/>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 xml:space="preserve"> </w:t>
            </w:r>
            <w:r>
              <w:rPr>
                <w:b/>
                <w:color w:val="595959" w:themeColor="text1" w:themeTint="A6"/>
                <w14:textFill>
                  <w14:solidFill>
                    <w14:schemeClr w14:val="tx1">
                      <w14:lumMod w14:val="65000"/>
                      <w14:lumOff w14:val="35000"/>
                    </w14:schemeClr>
                  </w14:solidFill>
                </w14:textFill>
              </w:rPr>
              <w:t>Заявка состоит из</w:t>
            </w:r>
            <w:r>
              <w:rPr>
                <w:b/>
                <w:color w:val="595959" w:themeColor="text1" w:themeTint="A6"/>
                <w:lang w:val="en-US"/>
                <w14:textFill>
                  <w14:solidFill>
                    <w14:schemeClr w14:val="tx1">
                      <w14:lumMod w14:val="65000"/>
                      <w14:lumOff w14:val="35000"/>
                    </w14:schemeClr>
                  </w14:solidFill>
                </w14:textFill>
              </w:rPr>
              <w:t>:</w:t>
            </w:r>
          </w:p>
          <w:p w14:paraId="6BC6D77D">
            <w:pPr>
              <w:pStyle w:val="16"/>
              <w:numPr>
                <w:ilvl w:val="0"/>
                <w:numId w:val="6"/>
              </w:numPr>
              <w:ind w:left="170" w:firstLine="0"/>
              <w:jc w:val="both"/>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 xml:space="preserve">Предложения в формате </w:t>
            </w:r>
            <w:r>
              <w:rPr>
                <w:color w:val="595959" w:themeColor="text1" w:themeTint="A6"/>
                <w:lang w:val="en-US"/>
                <w14:textFill>
                  <w14:solidFill>
                    <w14:schemeClr w14:val="tx1">
                      <w14:lumMod w14:val="65000"/>
                      <w14:lumOff w14:val="35000"/>
                    </w14:schemeClr>
                  </w14:solidFill>
                </w14:textFill>
              </w:rPr>
              <w:t>Excel</w:t>
            </w:r>
            <w:r>
              <w:rPr>
                <w:color w:val="595959" w:themeColor="text1" w:themeTint="A6"/>
                <w14:textFill>
                  <w14:solidFill>
                    <w14:schemeClr w14:val="tx1">
                      <w14:lumMod w14:val="65000"/>
                      <w14:lumOff w14:val="35000"/>
                    </w14:schemeClr>
                  </w14:solidFill>
                </w14:textFill>
              </w:rPr>
              <w:t xml:space="preserve"> (Приложение № 1 к Извещению);</w:t>
            </w:r>
          </w:p>
          <w:p w14:paraId="760DA6FF">
            <w:pPr>
              <w:pStyle w:val="16"/>
              <w:numPr>
                <w:ilvl w:val="0"/>
                <w:numId w:val="6"/>
              </w:numPr>
              <w:ind w:left="170" w:firstLine="0"/>
              <w:jc w:val="both"/>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 xml:space="preserve">Анкеты участника в формате </w:t>
            </w:r>
            <w:r>
              <w:rPr>
                <w:color w:val="595959" w:themeColor="text1" w:themeTint="A6"/>
                <w:lang w:val="en-US"/>
                <w14:textFill>
                  <w14:solidFill>
                    <w14:schemeClr w14:val="tx1">
                      <w14:lumMod w14:val="65000"/>
                      <w14:lumOff w14:val="35000"/>
                    </w14:schemeClr>
                  </w14:solidFill>
                </w14:textFill>
              </w:rPr>
              <w:t>Excel</w:t>
            </w:r>
            <w:r>
              <w:rPr>
                <w:color w:val="595959" w:themeColor="text1" w:themeTint="A6"/>
                <w14:textFill>
                  <w14:solidFill>
                    <w14:schemeClr w14:val="tx1">
                      <w14:lumMod w14:val="65000"/>
                      <w14:lumOff w14:val="35000"/>
                    </w14:schemeClr>
                  </w14:solidFill>
                </w14:textFill>
              </w:rPr>
              <w:t xml:space="preserve"> (Приложение №1 к заявке);</w:t>
            </w:r>
          </w:p>
          <w:p w14:paraId="20A66488">
            <w:pPr>
              <w:pStyle w:val="16"/>
              <w:numPr>
                <w:ilvl w:val="0"/>
                <w:numId w:val="6"/>
              </w:numPr>
              <w:ind w:left="170" w:firstLine="0"/>
              <w:jc w:val="both"/>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Гарантийного письма (Приложение № 2 к заявке);</w:t>
            </w:r>
          </w:p>
          <w:p w14:paraId="4D87090F">
            <w:pPr>
              <w:pStyle w:val="16"/>
              <w:numPr>
                <w:ilvl w:val="0"/>
                <w:numId w:val="6"/>
              </w:numPr>
              <w:ind w:left="170" w:firstLine="0"/>
              <w:jc w:val="both"/>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Заявлени</w:t>
            </w:r>
            <w:r>
              <w:rPr>
                <w:color w:val="595959" w:themeColor="text1" w:themeTint="A6"/>
                <w:lang w:val="ru-RU"/>
                <w14:textFill>
                  <w14:solidFill>
                    <w14:schemeClr w14:val="tx1">
                      <w14:lumMod w14:val="65000"/>
                      <w14:lumOff w14:val="35000"/>
                    </w14:schemeClr>
                  </w14:solidFill>
                </w14:textFill>
              </w:rPr>
              <w:t>я</w:t>
            </w:r>
            <w:r>
              <w:rPr>
                <w:color w:val="595959" w:themeColor="text1" w:themeTint="A6"/>
                <w14:textFill>
                  <w14:solidFill>
                    <w14:schemeClr w14:val="tx1">
                      <w14:lumMod w14:val="65000"/>
                      <w14:lumOff w14:val="35000"/>
                    </w14:schemeClr>
                  </w14:solidFill>
                </w14:textFill>
              </w:rPr>
              <w:t xml:space="preserve"> контрагента (Приложение № 3 к заявке);</w:t>
            </w:r>
          </w:p>
          <w:p w14:paraId="41FC24E7">
            <w:pPr>
              <w:pStyle w:val="16"/>
              <w:numPr>
                <w:ilvl w:val="0"/>
                <w:numId w:val="6"/>
              </w:numPr>
              <w:ind w:left="170" w:firstLine="0"/>
              <w:jc w:val="both"/>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Справки о наличии опыта /ресурсов (Приложении № 4 к заявке).</w:t>
            </w:r>
          </w:p>
          <w:p w14:paraId="7C90B2D8">
            <w:pPr>
              <w:pStyle w:val="16"/>
              <w:ind w:left="28" w:firstLine="459"/>
              <w:jc w:val="both"/>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14:paraId="736B80EC">
            <w:pPr>
              <w:jc w:val="both"/>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 xml:space="preserve">     3) копию выписки из СРО (при необходимости);</w:t>
            </w:r>
          </w:p>
          <w:p w14:paraId="3EE22585">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4) копию лицензии на осуществление деятельности (при необходимости);</w:t>
            </w:r>
          </w:p>
          <w:p w14:paraId="5215FD6A">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5) копии документов, подтверждающих правообладание (при необходимости);</w:t>
            </w:r>
          </w:p>
          <w:p w14:paraId="73354034">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6)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14:paraId="66ED8858">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xml:space="preserve">7)  копии документов, удостоверяющих личность (для иных физических лиц); </w:t>
            </w:r>
          </w:p>
          <w:p w14:paraId="70C95BAA">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8)</w:t>
            </w:r>
            <w:r>
              <w:rPr>
                <w:color w:val="595959" w:themeColor="text1" w:themeTint="A6"/>
                <w:szCs w:val="24"/>
                <w14:textFill>
                  <w14:solidFill>
                    <w14:schemeClr w14:val="tx1">
                      <w14:lumMod w14:val="65000"/>
                      <w14:lumOff w14:val="35000"/>
                    </w14:schemeClr>
                  </w14:solidFill>
                </w14:textFill>
              </w:rPr>
              <w:tab/>
            </w:r>
            <w:r>
              <w:rPr>
                <w:color w:val="595959" w:themeColor="text1" w:themeTint="A6"/>
                <w:szCs w:val="24"/>
                <w14:textFill>
                  <w14:solidFill>
                    <w14:schemeClr w14:val="tx1">
                      <w14:lumMod w14:val="65000"/>
                      <w14:lumOff w14:val="35000"/>
                    </w14:schemeClr>
                  </w14:solidFill>
                </w14:textFill>
              </w:rPr>
              <w:t>документы, подтверждающие соответствие Участника Закупки дополнительным и квалификационным требованиям, установленным в разделе 6 Извещения;</w:t>
            </w:r>
          </w:p>
          <w:p w14:paraId="73ACDB9A">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9)</w:t>
            </w:r>
            <w:r>
              <w:rPr>
                <w:color w:val="595959" w:themeColor="text1" w:themeTint="A6"/>
                <w:szCs w:val="24"/>
                <w14:textFill>
                  <w14:solidFill>
                    <w14:schemeClr w14:val="tx1">
                      <w14:lumMod w14:val="65000"/>
                      <w14:lumOff w14:val="35000"/>
                    </w14:schemeClr>
                  </w14:solidFill>
                </w14:textFill>
              </w:rPr>
              <w:tab/>
            </w:r>
            <w:r>
              <w:rPr>
                <w:color w:val="595959" w:themeColor="text1" w:themeTint="A6"/>
                <w:szCs w:val="24"/>
                <w14:textFill>
                  <w14:solidFill>
                    <w14:schemeClr w14:val="tx1">
                      <w14:lumMod w14:val="65000"/>
                      <w14:lumOff w14:val="35000"/>
                    </w14:schemeClr>
                  </w14:solidFill>
                </w14:textFill>
              </w:rPr>
              <w:t>копии документов, подтверждающих полномочия лица, подписавшего Заявку, на совершение указанных действий;</w:t>
            </w:r>
          </w:p>
          <w:p w14:paraId="06F5EBBC">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Все документы, входящие в состав Заявки на участие в Тендере,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1D580ABA">
            <w:pPr>
              <w:ind w:firstLine="317"/>
              <w:jc w:val="both"/>
              <w:rPr>
                <w:b/>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xml:space="preserve">  </w:t>
            </w:r>
            <w:r>
              <w:rPr>
                <w:b/>
                <w:color w:val="595959" w:themeColor="text1" w:themeTint="A6"/>
                <w:szCs w:val="24"/>
                <w14:textFill>
                  <w14:solidFill>
                    <w14:schemeClr w14:val="tx1">
                      <w14:lumMod w14:val="65000"/>
                      <w14:lumOff w14:val="35000"/>
                    </w14:schemeClr>
                  </w14:solidFill>
                </w14:textFill>
              </w:rPr>
              <w:t>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будут запрошены следующие документы:</w:t>
            </w:r>
          </w:p>
          <w:p w14:paraId="5A1BB1FD">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копия приказа о назначении генерального директора;</w:t>
            </w:r>
          </w:p>
          <w:p w14:paraId="6D48BBC9">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копия приказа о назначении главного бухгалтера;</w:t>
            </w:r>
          </w:p>
          <w:p w14:paraId="7BAAEED2">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14:paraId="2B400B44">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документы, подтверждающие право использования юридического адреса, действительные на дату подачи заявки на участие в Тендере;</w:t>
            </w:r>
          </w:p>
          <w:p w14:paraId="6BE5BA8A">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копия отчета ЕФС-1;</w:t>
            </w:r>
          </w:p>
          <w:p w14:paraId="7A03F299">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копия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14:paraId="2E5296F4">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копия отчетности по НДС за 4 квартала, предшествующие дате подачи заявки (при общем режиме налогообложения);</w:t>
            </w:r>
          </w:p>
          <w:p w14:paraId="133119AA">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копия уведомления налогового органа о возможности применения упрощенной системы налогообложения (для участников, применяющих ее);</w:t>
            </w:r>
          </w:p>
          <w:p w14:paraId="70F04BB0">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При необходимости могут быть запрошены дополнительные документы и сведения.</w:t>
            </w:r>
          </w:p>
        </w:tc>
      </w:tr>
      <w:tr w14:paraId="6B3C30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5D8BD5B2">
            <w:pPr>
              <w:pStyle w:val="16"/>
              <w:numPr>
                <w:ilvl w:val="0"/>
                <w:numId w:val="4"/>
              </w:numPr>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Затраты на участие в Тендере</w:t>
            </w:r>
          </w:p>
        </w:tc>
        <w:tc>
          <w:tcPr>
            <w:tcW w:w="6371" w:type="dxa"/>
            <w:shd w:val="clear" w:color="auto" w:fill="auto"/>
          </w:tcPr>
          <w:p w14:paraId="6756B2C6">
            <w:pPr>
              <w:ind w:left="28" w:firstLine="426"/>
              <w:jc w:val="both"/>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 xml:space="preserve">Участник Закупки за свой счет несет все расходы, связанные с подготовкой и подачей необходимых документов на участие в Закупке.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Закупке и упущенной выгодой независимо от результатов Закупки. </w:t>
            </w:r>
          </w:p>
          <w:p w14:paraId="3D1A20DD">
            <w:pPr>
              <w:ind w:firstLine="595"/>
              <w:jc w:val="both"/>
              <w:rPr>
                <w:color w:val="595959" w:themeColor="text1" w:themeTint="A6"/>
                <w:szCs w:val="24"/>
                <w:highlight w:val="yellow"/>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Победитель Закупки за свой счет несет все расходы, связанные с проведением переговоров с Заказчиком по согласованию существенных и иных условий договора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14:paraId="52A267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1" w:hRule="atLeast"/>
        </w:trPr>
        <w:tc>
          <w:tcPr>
            <w:tcW w:w="3148" w:type="dxa"/>
            <w:shd w:val="clear" w:color="auto" w:fill="auto"/>
          </w:tcPr>
          <w:p w14:paraId="434BA53B">
            <w:pPr>
              <w:pStyle w:val="16"/>
              <w:numPr>
                <w:ilvl w:val="0"/>
                <w:numId w:val="4"/>
              </w:numPr>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Порядок рассмотрения и оценки Заявок участников Тендера</w:t>
            </w:r>
          </w:p>
        </w:tc>
        <w:tc>
          <w:tcPr>
            <w:tcW w:w="6371" w:type="dxa"/>
            <w:shd w:val="clear" w:color="auto" w:fill="auto"/>
          </w:tcPr>
          <w:p w14:paraId="1D4DA90F">
            <w:pPr>
              <w:ind w:hanging="113"/>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xml:space="preserve">         Все поступившие в установленные сроки и в установленном порядке Заявки рассматриваются на соответствие следующим критериям отбора:</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1. Соблюдение требований к содержанию и составу Заявки.</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2. Соответствие Участника Закупки требованиям, установленным в Извещении.</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3. Соответствие предлагаемой Продукции и условий исполнения договора требованиям, установленным в Извещении, Техническом задании и проекте договора.</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4. Соблюдение описания Продукции, предлагаемой к поставке, требованиям, установленным Извещением о закупке.</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5. Отсутствие в составе Заявки недостоверных сведений.</w:t>
            </w:r>
          </w:p>
          <w:p w14:paraId="41CA9CD9">
            <w:pPr>
              <w:ind w:left="28"/>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xml:space="preserve">        При определении Победителей Закупки могут применяться следующие критерии оценки заявок Участников:</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1. Функциональные характеристики, потребительские свойства и/или качественные характеристики Продукции. </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3. Предоставление гарантий качества на Продукцию.</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4. Условия поставки Продукции (сроки поставки, порядок доставки);</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5. Условия оплаты Продукции (срок оплаты, размер аванса);</w:t>
            </w:r>
            <w:r>
              <w:rPr>
                <w:color w:val="595959" w:themeColor="text1" w:themeTint="A6"/>
                <w:szCs w:val="24"/>
                <w14:textFill>
                  <w14:solidFill>
                    <w14:schemeClr w14:val="tx1">
                      <w14:lumMod w14:val="65000"/>
                      <w14:lumOff w14:val="35000"/>
                    </w14:schemeClr>
                  </w14:solidFill>
                </w14:textFill>
              </w:rPr>
              <w:br w:type="textWrapping"/>
            </w:r>
            <w:r>
              <w:rPr>
                <w:color w:val="595959" w:themeColor="text1" w:themeTint="A6"/>
                <w:szCs w:val="24"/>
                <w14:textFill>
                  <w14:solidFill>
                    <w14:schemeClr w14:val="tx1">
                      <w14:lumMod w14:val="65000"/>
                      <w14:lumOff w14:val="35000"/>
                    </w14:schemeClr>
                  </w14:solidFill>
                </w14:textFill>
              </w:rPr>
              <w:t xml:space="preserve">        6. Расходы на эксплуатацию Продукции.</w:t>
            </w:r>
          </w:p>
          <w:p w14:paraId="0801CAFE">
            <w:pPr>
              <w:ind w:left="28" w:firstLine="426"/>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xml:space="preserve"> </w:t>
            </w:r>
            <w:r>
              <w:rPr>
                <w:color w:val="595959" w:themeColor="text1" w:themeTint="A6"/>
                <w:szCs w:val="24"/>
                <w:lang w:val="en-US"/>
                <w14:textFill>
                  <w14:solidFill>
                    <w14:schemeClr w14:val="tx1">
                      <w14:lumMod w14:val="65000"/>
                      <w14:lumOff w14:val="35000"/>
                    </w14:schemeClr>
                  </w14:solidFill>
                </w14:textFill>
              </w:rPr>
              <w:t>N</w:t>
            </w:r>
            <w:r>
              <w:rPr>
                <w:color w:val="595959" w:themeColor="text1" w:themeTint="A6"/>
                <w:szCs w:val="24"/>
                <w14:textFill>
                  <w14:solidFill>
                    <w14:schemeClr w14:val="tx1">
                      <w14:lumMod w14:val="65000"/>
                      <w14:lumOff w14:val="35000"/>
                    </w14:schemeClr>
                  </w14:solidFill>
                </w14:textFill>
              </w:rPr>
              <w:t>. Добавляются при необходимости дополнительные критерии</w:t>
            </w:r>
          </w:p>
        </w:tc>
      </w:tr>
      <w:tr w14:paraId="4C4D69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7E63BBC1">
            <w:pPr>
              <w:numPr>
                <w:ilvl w:val="0"/>
                <w:numId w:val="4"/>
              </w:numPr>
              <w:ind w:left="601" w:hanging="425"/>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Возможность подачи предложений по части позиций</w:t>
            </w:r>
            <w:r>
              <w:rPr>
                <w:color w:val="595959" w:themeColor="text1" w:themeTint="A6"/>
                <w:szCs w:val="24"/>
                <w14:textFill>
                  <w14:solidFill>
                    <w14:schemeClr w14:val="tx1">
                      <w14:lumMod w14:val="65000"/>
                      <w14:lumOff w14:val="35000"/>
                    </w14:schemeClr>
                  </w14:solidFill>
                </w14:textFill>
              </w:rPr>
              <w:tab/>
            </w:r>
            <w:r>
              <w:rPr>
                <w:color w:val="595959" w:themeColor="text1" w:themeTint="A6"/>
                <w:szCs w:val="24"/>
                <w14:textFill>
                  <w14:solidFill>
                    <w14:schemeClr w14:val="tx1">
                      <w14:lumMod w14:val="65000"/>
                      <w14:lumOff w14:val="35000"/>
                    </w14:schemeClr>
                  </w14:solidFill>
                </w14:textFill>
              </w:rPr>
              <w:tab/>
            </w:r>
          </w:p>
        </w:tc>
        <w:tc>
          <w:tcPr>
            <w:tcW w:w="6371" w:type="dxa"/>
            <w:shd w:val="clear" w:color="auto" w:fill="auto"/>
          </w:tcPr>
          <w:p w14:paraId="7198F63B">
            <w:pPr>
              <w:ind w:firstLine="317"/>
              <w:jc w:val="both"/>
              <w:rPr>
                <w:b/>
                <w:i/>
                <w:color w:val="595959" w:themeColor="text1" w:themeTint="A6"/>
                <w:szCs w:val="24"/>
                <w14:textFill>
                  <w14:solidFill>
                    <w14:schemeClr w14:val="tx1">
                      <w14:lumMod w14:val="65000"/>
                      <w14:lumOff w14:val="35000"/>
                    </w14:schemeClr>
                  </w14:solidFill>
                </w14:textFill>
              </w:rPr>
            </w:pPr>
            <w:r>
              <w:rPr>
                <w:b/>
                <w:i/>
                <w:color w:val="595959" w:themeColor="text1" w:themeTint="A6"/>
                <w:szCs w:val="24"/>
                <w14:textFill>
                  <w14:solidFill>
                    <w14:schemeClr w14:val="tx1">
                      <w14:lumMod w14:val="65000"/>
                      <w14:lumOff w14:val="35000"/>
                    </w14:schemeClr>
                  </w14:solidFill>
                </w14:textFill>
              </w:rPr>
              <w:t>Допускается /не допускается (выбрать)</w:t>
            </w:r>
          </w:p>
        </w:tc>
      </w:tr>
      <w:tr w14:paraId="672BFF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6F37F432">
            <w:pPr>
              <w:numPr>
                <w:ilvl w:val="0"/>
                <w:numId w:val="4"/>
              </w:numPr>
              <w:ind w:left="601" w:hanging="425"/>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Количество победителей Закупки (в рамках одного лота)</w:t>
            </w:r>
            <w:r>
              <w:rPr>
                <w:color w:val="595959" w:themeColor="text1" w:themeTint="A6"/>
                <w:szCs w:val="24"/>
                <w14:textFill>
                  <w14:solidFill>
                    <w14:schemeClr w14:val="tx1">
                      <w14:lumMod w14:val="65000"/>
                      <w14:lumOff w14:val="35000"/>
                    </w14:schemeClr>
                  </w14:solidFill>
                </w14:textFill>
              </w:rPr>
              <w:tab/>
            </w:r>
            <w:r>
              <w:rPr>
                <w:color w:val="595959" w:themeColor="text1" w:themeTint="A6"/>
                <w:szCs w:val="24"/>
                <w14:textFill>
                  <w14:solidFill>
                    <w14:schemeClr w14:val="tx1">
                      <w14:lumMod w14:val="65000"/>
                      <w14:lumOff w14:val="35000"/>
                    </w14:schemeClr>
                  </w14:solidFill>
                </w14:textFill>
              </w:rPr>
              <w:tab/>
            </w:r>
          </w:p>
        </w:tc>
        <w:tc>
          <w:tcPr>
            <w:tcW w:w="6371" w:type="dxa"/>
            <w:shd w:val="clear" w:color="auto" w:fill="auto"/>
          </w:tcPr>
          <w:p w14:paraId="0F4C8257">
            <w:pPr>
              <w:ind w:firstLine="317"/>
              <w:jc w:val="both"/>
              <w:rPr>
                <w:color w:val="595959" w:themeColor="text1" w:themeTint="A6"/>
                <w:szCs w:val="24"/>
                <w14:textFill>
                  <w14:solidFill>
                    <w14:schemeClr w14:val="tx1">
                      <w14:lumMod w14:val="65000"/>
                      <w14:lumOff w14:val="35000"/>
                    </w14:schemeClr>
                  </w14:solidFill>
                </w14:textFill>
              </w:rPr>
            </w:pPr>
            <w:r>
              <w:rPr>
                <w:b/>
                <w:i/>
                <w:color w:val="595959" w:themeColor="text1" w:themeTint="A6"/>
                <w:szCs w:val="24"/>
                <w14:textFill>
                  <w14:solidFill>
                    <w14:schemeClr w14:val="tx1">
                      <w14:lumMod w14:val="65000"/>
                      <w14:lumOff w14:val="35000"/>
                    </w14:schemeClr>
                  </w14:solidFill>
                </w14:textFill>
              </w:rPr>
              <w:t>Допускается/не допускается (выбрать)</w:t>
            </w:r>
            <w:r>
              <w:rPr>
                <w:color w:val="595959" w:themeColor="text1" w:themeTint="A6"/>
                <w:szCs w:val="24"/>
                <w14:textFill>
                  <w14:solidFill>
                    <w14:schemeClr w14:val="tx1">
                      <w14:lumMod w14:val="65000"/>
                      <w14:lumOff w14:val="35000"/>
                    </w14:schemeClr>
                  </w14:solidFill>
                </w14:textFill>
              </w:rPr>
              <w:t xml:space="preserve"> выбор нескольких победителей с целью распределения общего объема потребности заказчика между ними, а именно:</w:t>
            </w:r>
          </w:p>
          <w:p w14:paraId="304F5BDB">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[указываются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tc>
      </w:tr>
      <w:tr w14:paraId="21BBCB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407A7AF8">
            <w:pPr>
              <w:numPr>
                <w:ilvl w:val="0"/>
                <w:numId w:val="4"/>
              </w:numPr>
              <w:ind w:left="601" w:hanging="425"/>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Возможность подачи альтернативного предложения</w:t>
            </w:r>
          </w:p>
        </w:tc>
        <w:tc>
          <w:tcPr>
            <w:tcW w:w="6371" w:type="dxa"/>
            <w:shd w:val="clear" w:color="auto" w:fill="auto"/>
          </w:tcPr>
          <w:p w14:paraId="3185FFC2">
            <w:pPr>
              <w:ind w:firstLine="317"/>
              <w:jc w:val="both"/>
              <w:rPr>
                <w:b/>
                <w:i/>
                <w:color w:val="595959" w:themeColor="text1" w:themeTint="A6"/>
                <w:szCs w:val="24"/>
                <w14:textFill>
                  <w14:solidFill>
                    <w14:schemeClr w14:val="tx1">
                      <w14:lumMod w14:val="65000"/>
                      <w14:lumOff w14:val="35000"/>
                    </w14:schemeClr>
                  </w14:solidFill>
                </w14:textFill>
              </w:rPr>
            </w:pPr>
            <w:r>
              <w:rPr>
                <w:b/>
                <w:i/>
                <w:color w:val="595959" w:themeColor="text1" w:themeTint="A6"/>
                <w:szCs w:val="24"/>
                <w14:textFill>
                  <w14:solidFill>
                    <w14:schemeClr w14:val="tx1">
                      <w14:lumMod w14:val="65000"/>
                      <w14:lumOff w14:val="35000"/>
                    </w14:schemeClr>
                  </w14:solidFill>
                </w14:textFill>
              </w:rPr>
              <w:t>Допускается /не допускается (выбрать)</w:t>
            </w:r>
          </w:p>
          <w:p w14:paraId="5CC21C8B">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 </w:t>
            </w:r>
          </w:p>
          <w:p w14:paraId="0FAAC08D">
            <w:pPr>
              <w:ind w:firstLine="317"/>
              <w:jc w:val="both"/>
              <w:rPr>
                <w:color w:val="595959" w:themeColor="text1" w:themeTint="A6"/>
                <w:szCs w:val="24"/>
                <w14:textFill>
                  <w14:solidFill>
                    <w14:schemeClr w14:val="tx1">
                      <w14:lumMod w14:val="65000"/>
                      <w14:lumOff w14:val="35000"/>
                    </w14:schemeClr>
                  </w14:solidFill>
                </w14:textFill>
              </w:rPr>
            </w:pPr>
            <w:r>
              <w:rPr>
                <w:b/>
                <w:i/>
                <w:color w:val="595959" w:themeColor="text1" w:themeTint="A6"/>
                <w:szCs w:val="24"/>
                <w14:textFill>
                  <w14:solidFill>
                    <w14:schemeClr w14:val="tx1">
                      <w14:lumMod w14:val="65000"/>
                      <w14:lumOff w14:val="35000"/>
                    </w14:schemeClr>
                  </w14:solidFill>
                </w14:textFill>
              </w:rPr>
              <w:t>Альтернативное предложение подается одновременно с основным.</w:t>
            </w:r>
            <w:r>
              <w:rPr>
                <w:color w:val="595959" w:themeColor="text1" w:themeTint="A6"/>
                <w:szCs w:val="24"/>
                <w14:textFill>
                  <w14:solidFill>
                    <w14:schemeClr w14:val="tx1">
                      <w14:lumMod w14:val="65000"/>
                      <w14:lumOff w14:val="35000"/>
                    </w14:schemeClr>
                  </w14:solidFill>
                </w14:textFill>
              </w:rPr>
              <w:t xml:space="preserve"> </w:t>
            </w:r>
          </w:p>
          <w:p w14:paraId="18F6150A">
            <w:pPr>
              <w:ind w:firstLine="317"/>
              <w:jc w:val="both"/>
              <w:rPr>
                <w:color w:val="595959" w:themeColor="text1" w:themeTint="A6"/>
                <w:szCs w:val="24"/>
                <w14:textFill>
                  <w14:solidFill>
                    <w14:schemeClr w14:val="tx1">
                      <w14:lumMod w14:val="65000"/>
                      <w14:lumOff w14:val="35000"/>
                    </w14:schemeClr>
                  </w14:solidFill>
                </w14:textFill>
              </w:rPr>
            </w:pPr>
          </w:p>
        </w:tc>
      </w:tr>
      <w:tr w14:paraId="55B35EC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0E4D6F41">
            <w:pPr>
              <w:numPr>
                <w:ilvl w:val="0"/>
                <w:numId w:val="4"/>
              </w:numPr>
              <w:ind w:left="601" w:hanging="425"/>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Отказ в допуске к участию в Тендере</w:t>
            </w:r>
          </w:p>
        </w:tc>
        <w:tc>
          <w:tcPr>
            <w:tcW w:w="6371" w:type="dxa"/>
            <w:shd w:val="clear" w:color="auto" w:fill="auto"/>
          </w:tcPr>
          <w:p w14:paraId="62DD033C">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По решению Тендерного комитета Участник может быть не допущен к участию в Тендере, в том числе при отсутствии положительной резолюции подразделения, отвечающего за проверку благонадежности контрагентов.</w:t>
            </w:r>
          </w:p>
        </w:tc>
      </w:tr>
      <w:tr w14:paraId="2AB7AD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2E461830">
            <w:pPr>
              <w:numPr>
                <w:ilvl w:val="0"/>
                <w:numId w:val="4"/>
              </w:numPr>
              <w:ind w:left="601" w:hanging="425"/>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Переторжка</w:t>
            </w:r>
          </w:p>
        </w:tc>
        <w:tc>
          <w:tcPr>
            <w:tcW w:w="6371" w:type="dxa"/>
            <w:shd w:val="clear" w:color="auto" w:fill="auto"/>
          </w:tcPr>
          <w:p w14:paraId="5E162D50">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w:t>
            </w:r>
          </w:p>
          <w:p w14:paraId="547A48C3">
            <w:pPr>
              <w:tabs>
                <w:tab w:val="left" w:pos="983"/>
              </w:tabs>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 xml:space="preserve"> Переторжка проводится путем подачи Участниками обновленного предложения до указанного Заказчиком времени.  При этом до наступления указанного времени Участники Закупки могут вносить изменения в поданное предложение.</w:t>
            </w:r>
          </w:p>
          <w:p w14:paraId="58DCB419">
            <w:pPr>
              <w:tabs>
                <w:tab w:val="left" w:pos="983"/>
              </w:tabs>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По способу получения информации переторжка бывает с использованием функционала ЭТП или посредством электронной почты либо в режиме видео или аудио конференции;</w:t>
            </w:r>
          </w:p>
          <w:p w14:paraId="4BB3EA0F">
            <w:pPr>
              <w:tabs>
                <w:tab w:val="left" w:pos="983"/>
              </w:tabs>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По периодичности: однократная или многократная.</w:t>
            </w:r>
          </w:p>
          <w:p w14:paraId="4C4F9D9E">
            <w:pPr>
              <w:tabs>
                <w:tab w:val="left" w:pos="983"/>
              </w:tabs>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По видам изменяемой информации: ценовая, неценовая и смешанная.</w:t>
            </w:r>
          </w:p>
          <w:p w14:paraId="328DF22E">
            <w:pPr>
              <w:tabs>
                <w:tab w:val="left" w:pos="983"/>
              </w:tabs>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При недостижении ожидаемого эффекта от Процедуры закупки после однократно проведенной переторжки, Заказчиком может быть принято решение о ее повторном и последующих этапах.</w:t>
            </w:r>
          </w:p>
        </w:tc>
      </w:tr>
      <w:tr w14:paraId="7A207F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61570CEF">
            <w:pPr>
              <w:numPr>
                <w:ilvl w:val="0"/>
                <w:numId w:val="4"/>
              </w:numPr>
              <w:ind w:left="601" w:hanging="425"/>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Антидемпинговые меры</w:t>
            </w:r>
          </w:p>
        </w:tc>
        <w:tc>
          <w:tcPr>
            <w:tcW w:w="6371" w:type="dxa"/>
            <w:shd w:val="clear" w:color="auto" w:fill="auto"/>
          </w:tcPr>
          <w:p w14:paraId="1BA794A5">
            <w:pPr>
              <w:pStyle w:val="16"/>
              <w:spacing w:after="60" w:line="240" w:lineRule="auto"/>
              <w:ind w:left="0" w:firstLine="0"/>
              <w:contextualSpacing w:val="0"/>
              <w:jc w:val="both"/>
              <w:rPr>
                <w:color w:val="595959" w:themeColor="text1" w:themeTint="A6"/>
                <w14:textFill>
                  <w14:solidFill>
                    <w14:schemeClr w14:val="tx1">
                      <w14:lumMod w14:val="65000"/>
                      <w14:lumOff w14:val="35000"/>
                    </w14:schemeClr>
                  </w14:solidFill>
                </w14:textFill>
              </w:rPr>
            </w:pPr>
            <w:r>
              <w:rPr>
                <w:rFonts w:eastAsiaTheme="majorEastAsia"/>
                <w:color w:val="595959" w:themeColor="text1" w:themeTint="A6"/>
                <w14:textFill>
                  <w14:solidFill>
                    <w14:schemeClr w14:val="tx1">
                      <w14:lumMod w14:val="65000"/>
                      <w14:lumOff w14:val="35000"/>
                    </w14:schemeClr>
                  </w14:solidFill>
                </w14:textFill>
              </w:rPr>
              <w:t>Не применяются</w:t>
            </w:r>
          </w:p>
        </w:tc>
      </w:tr>
      <w:tr w14:paraId="3CF476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0E6BEFC5">
            <w:pPr>
              <w:numPr>
                <w:ilvl w:val="0"/>
                <w:numId w:val="4"/>
              </w:numPr>
              <w:ind w:left="601" w:hanging="425"/>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Определение Победителя Закупки</w:t>
            </w:r>
          </w:p>
        </w:tc>
        <w:tc>
          <w:tcPr>
            <w:tcW w:w="6371" w:type="dxa"/>
            <w:shd w:val="clear" w:color="auto" w:fill="auto"/>
          </w:tcPr>
          <w:p w14:paraId="4E63E451">
            <w:pPr>
              <w:pStyle w:val="16"/>
              <w:spacing w:after="60" w:line="240" w:lineRule="auto"/>
              <w:ind w:left="0" w:firstLine="0"/>
              <w:contextualSpacing w:val="0"/>
              <w:jc w:val="both"/>
              <w:rPr>
                <w:rFonts w:eastAsiaTheme="majorEastAsia"/>
                <w:color w:val="595959" w:themeColor="text1" w:themeTint="A6"/>
                <w14:textFill>
                  <w14:solidFill>
                    <w14:schemeClr w14:val="tx1">
                      <w14:lumMod w14:val="65000"/>
                      <w14:lumOff w14:val="35000"/>
                    </w14:schemeClr>
                  </w14:solidFill>
                </w14:textFill>
              </w:rPr>
            </w:pPr>
            <w:r>
              <w:rPr>
                <w:rFonts w:eastAsiaTheme="majorEastAsia"/>
                <w:color w:val="595959" w:themeColor="text1" w:themeTint="A6"/>
                <w14:textFill>
                  <w14:solidFill>
                    <w14:schemeClr w14:val="tx1">
                      <w14:lumMod w14:val="65000"/>
                      <w14:lumOff w14:val="35000"/>
                    </w14:schemeClr>
                  </w14:solidFill>
                </w14:textFill>
              </w:rPr>
              <w:t xml:space="preserve">       Победителем Закупки признается Участник, который предложил оптимальные условия исполнения договора, в том числе с учётом переговоров (при их проведении).</w:t>
            </w:r>
          </w:p>
        </w:tc>
      </w:tr>
      <w:tr w14:paraId="4DE605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8" w:type="dxa"/>
            <w:shd w:val="clear" w:color="auto" w:fill="auto"/>
          </w:tcPr>
          <w:p w14:paraId="61A850F1">
            <w:pPr>
              <w:numPr>
                <w:ilvl w:val="0"/>
                <w:numId w:val="4"/>
              </w:numPr>
              <w:ind w:left="601" w:hanging="425"/>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Заключение договора по итогам проведения Тендера</w:t>
            </w:r>
          </w:p>
        </w:tc>
        <w:tc>
          <w:tcPr>
            <w:tcW w:w="6371" w:type="dxa"/>
            <w:shd w:val="clear" w:color="auto" w:fill="auto"/>
          </w:tcPr>
          <w:p w14:paraId="21086F2B">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Договор заключается предпочтительно по типовой форме Холдинга в редакции, соответствующей редакции проекта договора, приложенного к Извещению, по цене, предложенной Участником Тендера после проведения переторжки и преддоговорных переговоров.</w:t>
            </w:r>
          </w:p>
          <w:p w14:paraId="1AFF6B29">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A88E5D">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В случае если Победитель Тендера отказался от заключения договора, такой Участник считается уклонившимся от заключения договора.</w:t>
            </w:r>
          </w:p>
          <w:p w14:paraId="379BC538">
            <w:pPr>
              <w:ind w:firstLine="317"/>
              <w:jc w:val="both"/>
              <w:rPr>
                <w:color w:val="595959" w:themeColor="text1" w:themeTint="A6"/>
                <w:szCs w:val="24"/>
                <w14:textFill>
                  <w14:solidFill>
                    <w14:schemeClr w14:val="tx1">
                      <w14:lumMod w14:val="65000"/>
                      <w14:lumOff w14:val="35000"/>
                    </w14:schemeClr>
                  </w14:solidFill>
                </w14:textFill>
              </w:rPr>
            </w:pPr>
            <w:r>
              <w:rPr>
                <w:color w:val="595959" w:themeColor="text1" w:themeTint="A6"/>
                <w:szCs w:val="24"/>
                <w14:textFill>
                  <w14:solidFill>
                    <w14:schemeClr w14:val="tx1">
                      <w14:lumMod w14:val="65000"/>
                      <w14:lumOff w14:val="35000"/>
                    </w14:schemeClr>
                  </w14:solidFill>
                </w14:textFill>
              </w:rPr>
              <w:t>Заключение договора и подписание первичных документов осуществляется приоритетно с использованием ЭДО.</w:t>
            </w:r>
          </w:p>
        </w:tc>
      </w:tr>
    </w:tbl>
    <w:p w14:paraId="4C88B53E">
      <w:pPr>
        <w:ind w:left="-426"/>
        <w:jc w:val="right"/>
        <w:rPr>
          <w:szCs w:val="24"/>
        </w:rPr>
        <w:sectPr>
          <w:footerReference r:id="rId4" w:type="default"/>
          <w:pgSz w:w="11906" w:h="16838"/>
          <w:pgMar w:top="1134" w:right="851" w:bottom="993" w:left="1418" w:header="454" w:footer="454" w:gutter="0"/>
          <w:cols w:space="708" w:num="1"/>
          <w:docGrid w:linePitch="381" w:charSpace="0"/>
        </w:sectPr>
      </w:pPr>
    </w:p>
    <w:p w14:paraId="02A9E520">
      <w:pPr>
        <w:jc w:val="right"/>
        <w:rPr>
          <w:szCs w:val="28"/>
        </w:rPr>
      </w:pPr>
      <w:bookmarkStart w:id="15" w:name="_Toc418282229"/>
      <w:bookmarkEnd w:id="15"/>
      <w:bookmarkStart w:id="16" w:name="_Toc418282236"/>
      <w:bookmarkEnd w:id="16"/>
    </w:p>
    <w:p w14:paraId="50DAE4DD">
      <w:pPr>
        <w:jc w:val="right"/>
        <w:rPr>
          <w:szCs w:val="28"/>
        </w:rPr>
      </w:pPr>
    </w:p>
    <w:p w14:paraId="44792DAC">
      <w:pPr>
        <w:jc w:val="right"/>
        <w:rPr>
          <w:szCs w:val="28"/>
        </w:rPr>
      </w:pPr>
    </w:p>
    <w:p w14:paraId="6B4563E9">
      <w:pPr>
        <w:jc w:val="right"/>
        <w:rPr>
          <w:szCs w:val="28"/>
        </w:rPr>
      </w:pPr>
    </w:p>
    <w:p w14:paraId="785BD53C">
      <w:pPr>
        <w:jc w:val="right"/>
        <w:rPr>
          <w:szCs w:val="28"/>
        </w:rPr>
      </w:pPr>
    </w:p>
    <w:p w14:paraId="665D7206">
      <w:pPr>
        <w:jc w:val="right"/>
        <w:rPr>
          <w:szCs w:val="28"/>
        </w:rPr>
      </w:pPr>
    </w:p>
    <w:p w14:paraId="2AEEE104">
      <w:pPr>
        <w:jc w:val="right"/>
        <w:rPr>
          <w:szCs w:val="28"/>
        </w:rPr>
      </w:pPr>
    </w:p>
    <w:p w14:paraId="6E45E1E2">
      <w:pPr>
        <w:jc w:val="right"/>
        <w:rPr>
          <w:szCs w:val="28"/>
        </w:rPr>
      </w:pPr>
    </w:p>
    <w:p w14:paraId="1490DFD6">
      <w:pPr>
        <w:jc w:val="right"/>
        <w:rPr>
          <w:szCs w:val="28"/>
        </w:rPr>
      </w:pPr>
    </w:p>
    <w:p w14:paraId="04DBE839">
      <w:pPr>
        <w:jc w:val="right"/>
        <w:rPr>
          <w:szCs w:val="28"/>
        </w:rPr>
      </w:pPr>
    </w:p>
    <w:p w14:paraId="0FE8790D">
      <w:pPr>
        <w:jc w:val="right"/>
        <w:rPr>
          <w:szCs w:val="28"/>
        </w:rPr>
      </w:pPr>
    </w:p>
    <w:p w14:paraId="04E07907">
      <w:pPr>
        <w:jc w:val="right"/>
        <w:rPr>
          <w:szCs w:val="28"/>
        </w:rPr>
      </w:pPr>
    </w:p>
    <w:p w14:paraId="718C2EF8">
      <w:pPr>
        <w:jc w:val="right"/>
        <w:rPr>
          <w:szCs w:val="28"/>
        </w:rPr>
      </w:pPr>
    </w:p>
    <w:p w14:paraId="47AF18B8">
      <w:pPr>
        <w:jc w:val="right"/>
        <w:rPr>
          <w:szCs w:val="28"/>
        </w:rPr>
      </w:pPr>
    </w:p>
    <w:p w14:paraId="6874D4D2">
      <w:pPr>
        <w:jc w:val="right"/>
        <w:rPr>
          <w:szCs w:val="28"/>
        </w:rPr>
      </w:pPr>
    </w:p>
    <w:p w14:paraId="6A3CEECB">
      <w:pPr>
        <w:jc w:val="right"/>
        <w:rPr>
          <w:szCs w:val="28"/>
        </w:rPr>
      </w:pPr>
    </w:p>
    <w:p w14:paraId="00ABCB10">
      <w:pPr>
        <w:jc w:val="right"/>
        <w:rPr>
          <w:szCs w:val="28"/>
        </w:rPr>
      </w:pPr>
    </w:p>
    <w:p w14:paraId="0189A848">
      <w:pPr>
        <w:jc w:val="right"/>
        <w:rPr>
          <w:szCs w:val="28"/>
        </w:rPr>
      </w:pPr>
    </w:p>
    <w:p w14:paraId="54D48C3F">
      <w:pPr>
        <w:jc w:val="right"/>
        <w:rPr>
          <w:szCs w:val="28"/>
        </w:rPr>
      </w:pPr>
    </w:p>
    <w:p w14:paraId="17AF5707">
      <w:pPr>
        <w:jc w:val="right"/>
        <w:rPr>
          <w:szCs w:val="28"/>
        </w:rPr>
      </w:pPr>
    </w:p>
    <w:p w14:paraId="24BC9322">
      <w:pPr>
        <w:jc w:val="right"/>
        <w:rPr>
          <w:szCs w:val="28"/>
        </w:rPr>
      </w:pPr>
    </w:p>
    <w:p w14:paraId="761AB345">
      <w:pPr>
        <w:jc w:val="right"/>
        <w:rPr>
          <w:szCs w:val="28"/>
        </w:rPr>
      </w:pPr>
    </w:p>
    <w:p w14:paraId="68EC1C5B">
      <w:pPr>
        <w:jc w:val="right"/>
        <w:rPr>
          <w:szCs w:val="28"/>
        </w:rPr>
      </w:pPr>
    </w:p>
    <w:p w14:paraId="3795DD8F">
      <w:pPr>
        <w:jc w:val="right"/>
        <w:rPr>
          <w:szCs w:val="28"/>
        </w:rPr>
      </w:pPr>
    </w:p>
    <w:p w14:paraId="6E969E83">
      <w:pPr>
        <w:jc w:val="right"/>
        <w:rPr>
          <w:szCs w:val="28"/>
        </w:rPr>
      </w:pPr>
    </w:p>
    <w:p w14:paraId="6EA191B9">
      <w:pPr>
        <w:jc w:val="right"/>
        <w:rPr>
          <w:szCs w:val="28"/>
        </w:rPr>
      </w:pPr>
    </w:p>
    <w:p w14:paraId="72B3350E">
      <w:pPr>
        <w:rPr>
          <w:lang w:eastAsia="zh-CN"/>
        </w:rPr>
      </w:pPr>
    </w:p>
    <w:p w14:paraId="19FFD4C4">
      <w:pPr>
        <w:spacing w:before="100" w:beforeAutospacing="1" w:after="100" w:afterAutospacing="1"/>
        <w:jc w:val="both"/>
        <w:rPr>
          <w:b/>
          <w:sz w:val="28"/>
        </w:rPr>
      </w:pPr>
    </w:p>
    <w:sectPr>
      <w:pgSz w:w="11906" w:h="16838"/>
      <w:pgMar w:top="1134" w:right="851" w:bottom="992" w:left="1418" w:header="454" w:footer="454"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Proxima Nova ExCn Rg">
    <w:altName w:val="Candara"/>
    <w:panose1 w:val="00000000000000000000"/>
    <w:charset w:val="00"/>
    <w:family w:val="modern"/>
    <w:pitch w:val="default"/>
    <w:sig w:usb0="00000000" w:usb1="00000000" w:usb2="00000000" w:usb3="00000000" w:csb0="0000019F" w:csb1="00000000"/>
  </w:font>
  <w:font w:name="Candara">
    <w:panose1 w:val="020E0502030303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1900153"/>
      <w:docPartObj>
        <w:docPartGallery w:val="autotext"/>
      </w:docPartObj>
    </w:sdtPr>
    <w:sdtContent>
      <w:p w14:paraId="06152D78">
        <w:pPr>
          <w:pStyle w:val="11"/>
          <w:jc w:val="right"/>
        </w:pPr>
        <w:r>
          <w:fldChar w:fldCharType="begin"/>
        </w:r>
        <w:r>
          <w:instrText xml:space="preserve">PAGE   \* MERGEFORMAT</w:instrText>
        </w:r>
        <w:r>
          <w:fldChar w:fldCharType="separate"/>
        </w:r>
        <w:r>
          <w:t>7</w:t>
        </w:r>
        <w:r>
          <w:fldChar w:fldCharType="end"/>
        </w:r>
      </w:p>
    </w:sdtContent>
  </w:sdt>
  <w:p w14:paraId="386113C7">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26DC4"/>
    <w:multiLevelType w:val="multilevel"/>
    <w:tmpl w:val="00B26DC4"/>
    <w:lvl w:ilvl="0" w:tentative="0">
      <w:start w:val="1"/>
      <w:numFmt w:val="decimal"/>
      <w:pStyle w:val="24"/>
      <w:lvlText w:val="%1."/>
      <w:lvlJc w:val="left"/>
      <w:pPr>
        <w:ind w:left="786" w:hanging="360"/>
      </w:pPr>
      <w:rPr>
        <w:rFonts w:hint="default"/>
        <w:sz w:val="24"/>
        <w:szCs w:val="24"/>
      </w:rPr>
    </w:lvl>
    <w:lvl w:ilvl="1" w:tentative="0">
      <w:start w:val="1"/>
      <w:numFmt w:val="decimal"/>
      <w:lvlText w:val="%1.%2."/>
      <w:lvlJc w:val="left"/>
      <w:pPr>
        <w:ind w:left="432" w:hanging="432"/>
      </w:pPr>
      <w:rPr>
        <w:rFonts w:hint="default"/>
        <w:b w:val="0"/>
        <w:bCs w:val="0"/>
        <w:color w:val="auto"/>
        <w:sz w:val="24"/>
        <w:szCs w:val="24"/>
      </w:rPr>
    </w:lvl>
    <w:lvl w:ilvl="2" w:tentative="0">
      <w:start w:val="1"/>
      <w:numFmt w:val="decimal"/>
      <w:lvlText w:val="%1.%2.%3."/>
      <w:lvlJc w:val="left"/>
      <w:pPr>
        <w:ind w:left="646" w:hanging="504"/>
      </w:pPr>
      <w:rPr>
        <w:rFonts w:hint="default"/>
        <w:b w:val="0"/>
        <w:bCs w:val="0"/>
        <w:i w:val="0"/>
        <w:color w:val="auto"/>
      </w:rPr>
    </w:lvl>
    <w:lvl w:ilvl="3" w:tentative="0">
      <w:start w:val="1"/>
      <w:numFmt w:val="decimal"/>
      <w:lvlText w:val="%1.%2.%3.%4."/>
      <w:lvlJc w:val="left"/>
      <w:pPr>
        <w:ind w:left="1499"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
    <w:nsid w:val="0F7642B2"/>
    <w:multiLevelType w:val="multilevel"/>
    <w:tmpl w:val="0F7642B2"/>
    <w:lvl w:ilvl="0" w:tentative="0">
      <w:start w:val="1"/>
      <w:numFmt w:val="decimal"/>
      <w:lvlText w:val="%1."/>
      <w:lvlJc w:val="left"/>
      <w:pPr>
        <w:ind w:left="1037" w:hanging="360"/>
      </w:pPr>
      <w:rPr>
        <w:rFonts w:hint="default"/>
      </w:rPr>
    </w:lvl>
    <w:lvl w:ilvl="1" w:tentative="0">
      <w:start w:val="1"/>
      <w:numFmt w:val="lowerLetter"/>
      <w:lvlText w:val="%2."/>
      <w:lvlJc w:val="left"/>
      <w:pPr>
        <w:ind w:left="1757" w:hanging="360"/>
      </w:pPr>
    </w:lvl>
    <w:lvl w:ilvl="2" w:tentative="0">
      <w:start w:val="1"/>
      <w:numFmt w:val="lowerRoman"/>
      <w:lvlText w:val="%3."/>
      <w:lvlJc w:val="right"/>
      <w:pPr>
        <w:ind w:left="2477" w:hanging="180"/>
      </w:pPr>
    </w:lvl>
    <w:lvl w:ilvl="3" w:tentative="0">
      <w:start w:val="1"/>
      <w:numFmt w:val="decimal"/>
      <w:lvlText w:val="%4."/>
      <w:lvlJc w:val="left"/>
      <w:pPr>
        <w:ind w:left="3197" w:hanging="360"/>
      </w:pPr>
    </w:lvl>
    <w:lvl w:ilvl="4" w:tentative="0">
      <w:start w:val="1"/>
      <w:numFmt w:val="lowerLetter"/>
      <w:lvlText w:val="%5."/>
      <w:lvlJc w:val="left"/>
      <w:pPr>
        <w:ind w:left="3917" w:hanging="360"/>
      </w:pPr>
    </w:lvl>
    <w:lvl w:ilvl="5" w:tentative="0">
      <w:start w:val="1"/>
      <w:numFmt w:val="lowerRoman"/>
      <w:lvlText w:val="%6."/>
      <w:lvlJc w:val="right"/>
      <w:pPr>
        <w:ind w:left="4637" w:hanging="180"/>
      </w:pPr>
    </w:lvl>
    <w:lvl w:ilvl="6" w:tentative="0">
      <w:start w:val="1"/>
      <w:numFmt w:val="decimal"/>
      <w:lvlText w:val="%7."/>
      <w:lvlJc w:val="left"/>
      <w:pPr>
        <w:ind w:left="5357" w:hanging="360"/>
      </w:pPr>
    </w:lvl>
    <w:lvl w:ilvl="7" w:tentative="0">
      <w:start w:val="1"/>
      <w:numFmt w:val="lowerLetter"/>
      <w:lvlText w:val="%8."/>
      <w:lvlJc w:val="left"/>
      <w:pPr>
        <w:ind w:left="6077" w:hanging="360"/>
      </w:pPr>
    </w:lvl>
    <w:lvl w:ilvl="8" w:tentative="0">
      <w:start w:val="1"/>
      <w:numFmt w:val="lowerRoman"/>
      <w:lvlText w:val="%9."/>
      <w:lvlJc w:val="right"/>
      <w:pPr>
        <w:ind w:left="6797" w:hanging="180"/>
      </w:pPr>
    </w:lvl>
  </w:abstractNum>
  <w:abstractNum w:abstractNumId="2">
    <w:nsid w:val="31B76458"/>
    <w:multiLevelType w:val="multilevel"/>
    <w:tmpl w:val="31B76458"/>
    <w:lvl w:ilvl="0" w:tentative="0">
      <w:start w:val="7"/>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3">
    <w:nsid w:val="554F0656"/>
    <w:multiLevelType w:val="multilevel"/>
    <w:tmpl w:val="554F0656"/>
    <w:lvl w:ilvl="0" w:tentative="0">
      <w:start w:val="1"/>
      <w:numFmt w:val="decimal"/>
      <w:lvlText w:val="%1."/>
      <w:lvlJc w:val="left"/>
      <w:pPr>
        <w:ind w:left="502"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769E548D"/>
    <w:multiLevelType w:val="multilevel"/>
    <w:tmpl w:val="769E548D"/>
    <w:lvl w:ilvl="0" w:tentative="0">
      <w:start w:val="1"/>
      <w:numFmt w:val="decimal"/>
      <w:lvlText w:val="%1."/>
      <w:lvlJc w:val="left"/>
      <w:pPr>
        <w:ind w:left="1134" w:hanging="1134"/>
      </w:pPr>
      <w:rPr>
        <w:rFonts w:hint="default"/>
      </w:rPr>
    </w:lvl>
    <w:lvl w:ilvl="1" w:tentative="0">
      <w:start w:val="1"/>
      <w:numFmt w:val="decimal"/>
      <w:pStyle w:val="25"/>
      <w:lvlText w:val="%1.%2"/>
      <w:lvlJc w:val="left"/>
      <w:pPr>
        <w:ind w:left="1985" w:hanging="1134"/>
      </w:pPr>
      <w:rPr>
        <w:rFonts w:hint="default"/>
      </w:rPr>
    </w:lvl>
    <w:lvl w:ilvl="2" w:tentative="0">
      <w:start w:val="1"/>
      <w:numFmt w:val="decimal"/>
      <w:pStyle w:val="29"/>
      <w:lvlText w:val="%1.%2.%3"/>
      <w:lvlJc w:val="left"/>
      <w:pPr>
        <w:ind w:left="1134" w:hanging="1134"/>
      </w:pPr>
      <w:rPr>
        <w:rFonts w:hint="default"/>
        <w:b w:val="0"/>
      </w:rPr>
    </w:lvl>
    <w:lvl w:ilvl="3" w:tentative="0">
      <w:start w:val="1"/>
      <w:numFmt w:val="decimal"/>
      <w:pStyle w:val="28"/>
      <w:lvlText w:val="(%4)"/>
      <w:lvlJc w:val="left"/>
      <w:pPr>
        <w:ind w:left="1986" w:hanging="851"/>
      </w:pPr>
      <w:rPr>
        <w:rFonts w:hint="default"/>
        <w:b w:val="0"/>
      </w:rPr>
    </w:lvl>
    <w:lvl w:ilvl="4" w:tentative="0">
      <w:start w:val="1"/>
      <w:numFmt w:val="russianLower"/>
      <w:lvlText w:val="(%5)"/>
      <w:lvlJc w:val="left"/>
      <w:pPr>
        <w:ind w:left="2835" w:hanging="850"/>
      </w:pPr>
      <w:rPr>
        <w:rFonts w:hint="default"/>
      </w:rPr>
    </w:lvl>
    <w:lvl w:ilvl="5" w:tentative="0">
      <w:start w:val="1"/>
      <w:numFmt w:val="none"/>
      <w:pStyle w:val="26"/>
      <w:lvlText w:val=""/>
      <w:lvlJc w:val="left"/>
      <w:pPr>
        <w:ind w:left="1134" w:hanging="1134"/>
      </w:pPr>
      <w:rPr>
        <w:rFonts w:hint="default"/>
      </w:rPr>
    </w:lvl>
    <w:lvl w:ilvl="6" w:tentative="0">
      <w:start w:val="1"/>
      <w:numFmt w:val="none"/>
      <w:lvlText w:val=""/>
      <w:lvlJc w:val="left"/>
      <w:pPr>
        <w:ind w:left="1134" w:hanging="1134"/>
      </w:pPr>
      <w:rPr>
        <w:rFonts w:hint="default"/>
      </w:rPr>
    </w:lvl>
    <w:lvl w:ilvl="7" w:tentative="0">
      <w:start w:val="1"/>
      <w:numFmt w:val="none"/>
      <w:lvlText w:val=""/>
      <w:lvlJc w:val="left"/>
      <w:pPr>
        <w:ind w:left="1134" w:hanging="1134"/>
      </w:pPr>
      <w:rPr>
        <w:rFonts w:hint="default"/>
      </w:rPr>
    </w:lvl>
    <w:lvl w:ilvl="8" w:tentative="0">
      <w:start w:val="1"/>
      <w:numFmt w:val="none"/>
      <w:lvlText w:val=""/>
      <w:lvlJc w:val="left"/>
      <w:pPr>
        <w:ind w:left="1134" w:hanging="1134"/>
      </w:pPr>
      <w:rPr>
        <w:rFonts w:hint="default"/>
      </w:rPr>
    </w:lvl>
  </w:abstractNum>
  <w:abstractNum w:abstractNumId="5">
    <w:nsid w:val="770B2C90"/>
    <w:multiLevelType w:val="multilevel"/>
    <w:tmpl w:val="770B2C90"/>
    <w:lvl w:ilvl="0" w:tentative="0">
      <w:start w:val="1"/>
      <w:numFmt w:val="decimal"/>
      <w:lvlText w:val="%1)"/>
      <w:lvlJc w:val="left"/>
      <w:pPr>
        <w:ind w:left="677" w:hanging="360"/>
      </w:pPr>
      <w:rPr>
        <w:rFonts w:hint="default"/>
        <w:color w:val="auto"/>
      </w:rPr>
    </w:lvl>
    <w:lvl w:ilvl="1" w:tentative="0">
      <w:start w:val="1"/>
      <w:numFmt w:val="lowerLetter"/>
      <w:lvlText w:val="%2."/>
      <w:lvlJc w:val="left"/>
      <w:pPr>
        <w:ind w:left="1397" w:hanging="360"/>
      </w:pPr>
    </w:lvl>
    <w:lvl w:ilvl="2" w:tentative="0">
      <w:start w:val="1"/>
      <w:numFmt w:val="lowerRoman"/>
      <w:lvlText w:val="%3."/>
      <w:lvlJc w:val="right"/>
      <w:pPr>
        <w:ind w:left="2117" w:hanging="180"/>
      </w:pPr>
    </w:lvl>
    <w:lvl w:ilvl="3" w:tentative="0">
      <w:start w:val="1"/>
      <w:numFmt w:val="decimal"/>
      <w:lvlText w:val="%4."/>
      <w:lvlJc w:val="left"/>
      <w:pPr>
        <w:ind w:left="2837" w:hanging="360"/>
      </w:pPr>
    </w:lvl>
    <w:lvl w:ilvl="4" w:tentative="0">
      <w:start w:val="1"/>
      <w:numFmt w:val="lowerLetter"/>
      <w:lvlText w:val="%5."/>
      <w:lvlJc w:val="left"/>
      <w:pPr>
        <w:ind w:left="3557" w:hanging="360"/>
      </w:pPr>
    </w:lvl>
    <w:lvl w:ilvl="5" w:tentative="0">
      <w:start w:val="1"/>
      <w:numFmt w:val="lowerRoman"/>
      <w:lvlText w:val="%6."/>
      <w:lvlJc w:val="right"/>
      <w:pPr>
        <w:ind w:left="4277" w:hanging="180"/>
      </w:pPr>
    </w:lvl>
    <w:lvl w:ilvl="6" w:tentative="0">
      <w:start w:val="1"/>
      <w:numFmt w:val="decimal"/>
      <w:lvlText w:val="%7."/>
      <w:lvlJc w:val="left"/>
      <w:pPr>
        <w:ind w:left="4997" w:hanging="360"/>
      </w:pPr>
    </w:lvl>
    <w:lvl w:ilvl="7" w:tentative="0">
      <w:start w:val="1"/>
      <w:numFmt w:val="lowerLetter"/>
      <w:lvlText w:val="%8."/>
      <w:lvlJc w:val="left"/>
      <w:pPr>
        <w:ind w:left="5717" w:hanging="360"/>
      </w:pPr>
    </w:lvl>
    <w:lvl w:ilvl="8" w:tentative="0">
      <w:start w:val="1"/>
      <w:numFmt w:val="lowerRoman"/>
      <w:lvlText w:val="%9."/>
      <w:lvlJc w:val="right"/>
      <w:pPr>
        <w:ind w:left="6437"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rawingGridHorizontalSpacing w:val="120"/>
  <w:drawingGridVerticalSpacing w:val="381"/>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2"/>
    <w:rsid w:val="00003706"/>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6FEC"/>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42E9"/>
    <w:rsid w:val="003F28BA"/>
    <w:rsid w:val="00400C3E"/>
    <w:rsid w:val="004015C5"/>
    <w:rsid w:val="00402894"/>
    <w:rsid w:val="00403CD3"/>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C1626"/>
    <w:rsid w:val="007C4B93"/>
    <w:rsid w:val="007D02E6"/>
    <w:rsid w:val="007D424F"/>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4C6"/>
    <w:rsid w:val="00912043"/>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965D3"/>
    <w:rsid w:val="00EA043F"/>
    <w:rsid w:val="00EC235D"/>
    <w:rsid w:val="00EC7DFC"/>
    <w:rsid w:val="00ED4E47"/>
    <w:rsid w:val="00F02AE3"/>
    <w:rsid w:val="00F0601E"/>
    <w:rsid w:val="00F17906"/>
    <w:rsid w:val="00F17B56"/>
    <w:rsid w:val="00F23D93"/>
    <w:rsid w:val="00F25506"/>
    <w:rsid w:val="00F27C73"/>
    <w:rsid w:val="00F33A78"/>
    <w:rsid w:val="00F413C2"/>
    <w:rsid w:val="00F85307"/>
    <w:rsid w:val="00FA46C5"/>
    <w:rsid w:val="00FB4AE5"/>
    <w:rsid w:val="00FB6F26"/>
    <w:rsid w:val="00FE14FE"/>
    <w:rsid w:val="00FF6CE0"/>
    <w:rsid w:val="01286995"/>
    <w:rsid w:val="01CF5FDE"/>
    <w:rsid w:val="07697B79"/>
    <w:rsid w:val="08F935C9"/>
    <w:rsid w:val="095600DF"/>
    <w:rsid w:val="0A995273"/>
    <w:rsid w:val="0BF92308"/>
    <w:rsid w:val="0D223618"/>
    <w:rsid w:val="14681019"/>
    <w:rsid w:val="15D45950"/>
    <w:rsid w:val="1C582A8B"/>
    <w:rsid w:val="2F8740A1"/>
    <w:rsid w:val="31D56869"/>
    <w:rsid w:val="31E65A40"/>
    <w:rsid w:val="3A8E5F95"/>
    <w:rsid w:val="3B1A4D04"/>
    <w:rsid w:val="3CCA46AF"/>
    <w:rsid w:val="40ED6414"/>
    <w:rsid w:val="41100301"/>
    <w:rsid w:val="4497384A"/>
    <w:rsid w:val="45422A49"/>
    <w:rsid w:val="456B65C5"/>
    <w:rsid w:val="45AE4B71"/>
    <w:rsid w:val="463827CD"/>
    <w:rsid w:val="469C1645"/>
    <w:rsid w:val="51DF6A72"/>
    <w:rsid w:val="527E158C"/>
    <w:rsid w:val="53531BCA"/>
    <w:rsid w:val="57566998"/>
    <w:rsid w:val="581C65FB"/>
    <w:rsid w:val="67CF1F4D"/>
    <w:rsid w:val="67D2745F"/>
    <w:rsid w:val="69563883"/>
    <w:rsid w:val="6B582620"/>
    <w:rsid w:val="6CB177E0"/>
    <w:rsid w:val="6CDD013D"/>
    <w:rsid w:val="6D3622E6"/>
    <w:rsid w:val="6D8C0377"/>
    <w:rsid w:val="72534F00"/>
    <w:rsid w:val="757260C0"/>
    <w:rsid w:val="769D232A"/>
    <w:rsid w:val="76B72ED4"/>
    <w:rsid w:val="776F357B"/>
    <w:rsid w:val="7A5101BC"/>
    <w:rsid w:val="7A7E7CE6"/>
    <w:rsid w:val="7DD140F2"/>
    <w:rsid w:val="7E425E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before="0" w:beforeAutospacing="0" w:after="0" w:afterAutospacing="0"/>
      <w:jc w:val="left"/>
    </w:pPr>
    <w:rPr>
      <w:rFonts w:ascii="Times New Roman" w:hAnsi="Times New Roman" w:cs="Times New Roman" w:eastAsiaTheme="minorHAnsi"/>
      <w:sz w:val="24"/>
      <w:lang w:val="ru-RU" w:eastAsia="en-US" w:bidi="ar-SA"/>
    </w:rPr>
  </w:style>
  <w:style w:type="paragraph" w:styleId="2">
    <w:name w:val="heading 1"/>
    <w:basedOn w:val="1"/>
    <w:next w:val="1"/>
    <w:link w:val="13"/>
    <w:qFormat/>
    <w:uiPriority w:val="99"/>
    <w:pPr>
      <w:keepNext/>
      <w:spacing w:before="120" w:after="120"/>
      <w:jc w:val="center"/>
      <w:outlineLvl w:val="0"/>
    </w:pPr>
    <w:rPr>
      <w:rFonts w:ascii="Cambria" w:hAnsi="Cambria" w:eastAsia="Times New Roman"/>
      <w:b/>
      <w:bCs/>
      <w:kern w:val="32"/>
      <w:sz w:val="32"/>
      <w:szCs w:val="32"/>
      <w:lang w:val="zh-CN" w:eastAsia="zh-CN"/>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qFormat/>
    <w:uiPriority w:val="0"/>
    <w:rPr>
      <w:rFonts w:ascii="Times New Roman" w:hAnsi="Times New Roman"/>
      <w:vertAlign w:val="superscript"/>
    </w:rPr>
  </w:style>
  <w:style w:type="character" w:styleId="6">
    <w:name w:val="Hyperlink"/>
    <w:basedOn w:val="3"/>
    <w:semiHidden/>
    <w:unhideWhenUsed/>
    <w:qFormat/>
    <w:uiPriority w:val="99"/>
    <w:rPr>
      <w:color w:val="0000FF"/>
      <w:u w:val="single"/>
    </w:rPr>
  </w:style>
  <w:style w:type="paragraph" w:styleId="7">
    <w:name w:val="Balloon Text"/>
    <w:basedOn w:val="1"/>
    <w:link w:val="18"/>
    <w:semiHidden/>
    <w:unhideWhenUsed/>
    <w:qFormat/>
    <w:uiPriority w:val="99"/>
    <w:rPr>
      <w:rFonts w:ascii="Segoe UI" w:hAnsi="Segoe UI" w:cs="Segoe UI"/>
      <w:sz w:val="18"/>
      <w:szCs w:val="18"/>
    </w:rPr>
  </w:style>
  <w:style w:type="paragraph" w:styleId="8">
    <w:name w:val="footnote text"/>
    <w:basedOn w:val="1"/>
    <w:link w:val="30"/>
    <w:qFormat/>
    <w:uiPriority w:val="0"/>
    <w:pPr>
      <w:spacing w:after="60"/>
      <w:jc w:val="both"/>
    </w:pPr>
    <w:rPr>
      <w:rFonts w:eastAsia="Times New Roman"/>
      <w:sz w:val="20"/>
      <w:lang w:eastAsia="ru-RU"/>
    </w:rPr>
  </w:style>
  <w:style w:type="paragraph" w:styleId="9">
    <w:name w:val="header"/>
    <w:basedOn w:val="1"/>
    <w:link w:val="19"/>
    <w:unhideWhenUsed/>
    <w:qFormat/>
    <w:uiPriority w:val="99"/>
    <w:pPr>
      <w:tabs>
        <w:tab w:val="center" w:pos="4677"/>
        <w:tab w:val="right" w:pos="9355"/>
      </w:tabs>
    </w:pPr>
  </w:style>
  <w:style w:type="paragraph" w:styleId="10">
    <w:name w:val="Title"/>
    <w:basedOn w:val="1"/>
    <w:link w:val="15"/>
    <w:qFormat/>
    <w:uiPriority w:val="99"/>
    <w:pPr>
      <w:ind w:firstLine="567"/>
      <w:jc w:val="center"/>
    </w:pPr>
    <w:rPr>
      <w:rFonts w:ascii="Cambria" w:hAnsi="Cambria" w:eastAsia="Times New Roman"/>
      <w:b/>
      <w:bCs/>
      <w:kern w:val="28"/>
      <w:sz w:val="32"/>
      <w:szCs w:val="32"/>
      <w:lang w:val="zh-CN" w:eastAsia="zh-CN"/>
    </w:rPr>
  </w:style>
  <w:style w:type="paragraph" w:styleId="11">
    <w:name w:val="footer"/>
    <w:basedOn w:val="1"/>
    <w:link w:val="20"/>
    <w:unhideWhenUsed/>
    <w:qFormat/>
    <w:uiPriority w:val="99"/>
    <w:pPr>
      <w:tabs>
        <w:tab w:val="center" w:pos="4677"/>
        <w:tab w:val="right" w:pos="9355"/>
      </w:tabs>
    </w:pPr>
  </w:style>
  <w:style w:type="table" w:styleId="12">
    <w:name w:val="Table Grid"/>
    <w:basedOn w:val="4"/>
    <w:qFormat/>
    <w:uiPriority w:val="39"/>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Заголовок 1 Знак"/>
    <w:basedOn w:val="3"/>
    <w:link w:val="2"/>
    <w:qFormat/>
    <w:uiPriority w:val="99"/>
    <w:rPr>
      <w:rFonts w:ascii="Cambria" w:hAnsi="Cambria" w:eastAsia="Times New Roman"/>
      <w:b/>
      <w:bCs/>
      <w:kern w:val="32"/>
      <w:sz w:val="32"/>
      <w:szCs w:val="32"/>
      <w:lang w:val="zh-CN" w:eastAsia="zh-CN"/>
    </w:rPr>
  </w:style>
  <w:style w:type="paragraph" w:customStyle="1" w:styleId="14">
    <w:name w:val="standard"/>
    <w:basedOn w:val="1"/>
    <w:qFormat/>
    <w:uiPriority w:val="99"/>
    <w:pPr>
      <w:jc w:val="both"/>
    </w:pPr>
    <w:rPr>
      <w:rFonts w:eastAsia="Times New Roman"/>
      <w:color w:val="000000"/>
      <w:sz w:val="22"/>
      <w:szCs w:val="22"/>
      <w:lang w:eastAsia="ru-RU"/>
    </w:rPr>
  </w:style>
  <w:style w:type="character" w:customStyle="1" w:styleId="15">
    <w:name w:val="Заголовок Знак"/>
    <w:basedOn w:val="3"/>
    <w:link w:val="10"/>
    <w:qFormat/>
    <w:uiPriority w:val="99"/>
    <w:rPr>
      <w:rFonts w:ascii="Cambria" w:hAnsi="Cambria" w:eastAsia="Times New Roman"/>
      <w:b/>
      <w:bCs/>
      <w:kern w:val="28"/>
      <w:sz w:val="32"/>
      <w:szCs w:val="32"/>
      <w:lang w:val="zh-CN" w:eastAsia="zh-CN"/>
    </w:rPr>
  </w:style>
  <w:style w:type="paragraph" w:styleId="16">
    <w:name w:val="List Paragraph"/>
    <w:basedOn w:val="1"/>
    <w:link w:val="23"/>
    <w:qFormat/>
    <w:uiPriority w:val="34"/>
    <w:pPr>
      <w:spacing w:after="200" w:line="276" w:lineRule="auto"/>
      <w:ind w:left="720" w:firstLine="709"/>
      <w:contextualSpacing/>
    </w:pPr>
    <w:rPr>
      <w:rFonts w:eastAsia="Calibri"/>
      <w:szCs w:val="24"/>
    </w:rPr>
  </w:style>
  <w:style w:type="paragraph" w:customStyle="1" w:styleId="17">
    <w:name w:val="ConsPlusNormal"/>
    <w:qFormat/>
    <w:uiPriority w:val="0"/>
    <w:pPr>
      <w:widowControl w:val="0"/>
      <w:autoSpaceDE w:val="0"/>
      <w:autoSpaceDN w:val="0"/>
      <w:adjustRightInd w:val="0"/>
      <w:spacing w:before="0" w:beforeAutospacing="0" w:after="0" w:afterAutospacing="0"/>
      <w:ind w:firstLine="720"/>
      <w:jc w:val="left"/>
    </w:pPr>
    <w:rPr>
      <w:rFonts w:ascii="Arial" w:hAnsi="Arial" w:eastAsia="Times New Roman" w:cs="Arial"/>
      <w:sz w:val="20"/>
      <w:lang w:val="ru-RU" w:eastAsia="ru-RU" w:bidi="ar-SA"/>
    </w:rPr>
  </w:style>
  <w:style w:type="character" w:customStyle="1" w:styleId="18">
    <w:name w:val="Текст выноски Знак"/>
    <w:basedOn w:val="3"/>
    <w:link w:val="7"/>
    <w:semiHidden/>
    <w:qFormat/>
    <w:uiPriority w:val="99"/>
    <w:rPr>
      <w:rFonts w:ascii="Segoe UI" w:hAnsi="Segoe UI" w:cs="Segoe UI"/>
      <w:sz w:val="18"/>
      <w:szCs w:val="18"/>
    </w:rPr>
  </w:style>
  <w:style w:type="character" w:customStyle="1" w:styleId="19">
    <w:name w:val="Верхний колонтитул Знак"/>
    <w:basedOn w:val="3"/>
    <w:link w:val="9"/>
    <w:qFormat/>
    <w:uiPriority w:val="99"/>
  </w:style>
  <w:style w:type="character" w:customStyle="1" w:styleId="20">
    <w:name w:val="Нижний колонтитул Знак"/>
    <w:basedOn w:val="3"/>
    <w:link w:val="11"/>
    <w:qFormat/>
    <w:uiPriority w:val="99"/>
  </w:style>
  <w:style w:type="character" w:customStyle="1" w:styleId="21">
    <w:name w:val="Другое_"/>
    <w:basedOn w:val="3"/>
    <w:link w:val="22"/>
    <w:qFormat/>
    <w:uiPriority w:val="0"/>
    <w:rPr>
      <w:rFonts w:eastAsia="Times New Roman"/>
      <w:sz w:val="19"/>
      <w:szCs w:val="19"/>
      <w:shd w:val="clear" w:color="auto" w:fill="FFFFFF"/>
    </w:rPr>
  </w:style>
  <w:style w:type="paragraph" w:customStyle="1" w:styleId="22">
    <w:name w:val="Другое"/>
    <w:basedOn w:val="1"/>
    <w:link w:val="21"/>
    <w:qFormat/>
    <w:uiPriority w:val="0"/>
    <w:pPr>
      <w:widowControl w:val="0"/>
      <w:shd w:val="clear" w:color="auto" w:fill="FFFFFF"/>
    </w:pPr>
    <w:rPr>
      <w:rFonts w:eastAsia="Times New Roman"/>
      <w:sz w:val="19"/>
      <w:szCs w:val="19"/>
    </w:rPr>
  </w:style>
  <w:style w:type="character" w:customStyle="1" w:styleId="23">
    <w:name w:val="Абзац списка Знак"/>
    <w:link w:val="16"/>
    <w:qFormat/>
    <w:locked/>
    <w:uiPriority w:val="34"/>
    <w:rPr>
      <w:rFonts w:eastAsia="Calibri"/>
      <w:szCs w:val="24"/>
    </w:rPr>
  </w:style>
  <w:style w:type="paragraph" w:customStyle="1" w:styleId="24">
    <w:name w:val="10.01_Заголовок"/>
    <w:basedOn w:val="1"/>
    <w:qFormat/>
    <w:uiPriority w:val="0"/>
    <w:pPr>
      <w:numPr>
        <w:ilvl w:val="0"/>
        <w:numId w:val="1"/>
      </w:numPr>
      <w:tabs>
        <w:tab w:val="left" w:pos="567"/>
      </w:tabs>
      <w:spacing w:after="120"/>
      <w:ind w:left="3338"/>
      <w:jc w:val="both"/>
      <w:outlineLvl w:val="0"/>
    </w:pPr>
    <w:rPr>
      <w:rFonts w:eastAsia="Times New Roman"/>
      <w:b/>
      <w:bCs/>
      <w:caps/>
      <w:sz w:val="28"/>
      <w:szCs w:val="28"/>
      <w:lang w:eastAsia="ru-RU"/>
    </w:rPr>
  </w:style>
  <w:style w:type="paragraph" w:customStyle="1" w:styleId="25">
    <w:name w:val="[Ростех] Наименование Подраздела (Уровень 3)"/>
    <w:link w:val="33"/>
    <w:qFormat/>
    <w:uiPriority w:val="99"/>
    <w:pPr>
      <w:keepNext/>
      <w:keepLines/>
      <w:numPr>
        <w:ilvl w:val="1"/>
        <w:numId w:val="2"/>
      </w:numPr>
      <w:suppressAutoHyphens/>
      <w:spacing w:before="240" w:beforeAutospacing="0" w:after="0" w:afterAutospacing="0"/>
      <w:jc w:val="left"/>
      <w:outlineLvl w:val="2"/>
    </w:pPr>
    <w:rPr>
      <w:rFonts w:ascii="Proxima Nova ExCn Rg" w:hAnsi="Proxima Nova ExCn Rg" w:eastAsia="Times New Roman" w:cs="Times New Roman"/>
      <w:b/>
      <w:sz w:val="28"/>
      <w:szCs w:val="28"/>
      <w:lang w:val="ru-RU" w:eastAsia="ru-RU" w:bidi="ar-SA"/>
    </w:rPr>
  </w:style>
  <w:style w:type="paragraph" w:customStyle="1" w:styleId="26">
    <w:name w:val="[Ростех] Простой текст (Без уровня)"/>
    <w:link w:val="27"/>
    <w:qFormat/>
    <w:uiPriority w:val="99"/>
    <w:pPr>
      <w:numPr>
        <w:ilvl w:val="5"/>
        <w:numId w:val="2"/>
      </w:numPr>
      <w:suppressAutoHyphens/>
      <w:spacing w:before="120" w:beforeAutospacing="0" w:after="0" w:afterAutospacing="0"/>
      <w:jc w:val="both"/>
    </w:pPr>
    <w:rPr>
      <w:rFonts w:ascii="Proxima Nova ExCn Rg" w:hAnsi="Proxima Nova ExCn Rg" w:eastAsia="Times New Roman" w:cs="Times New Roman"/>
      <w:sz w:val="28"/>
      <w:szCs w:val="28"/>
      <w:lang w:val="ru-RU" w:eastAsia="ru-RU" w:bidi="ar-SA"/>
    </w:rPr>
  </w:style>
  <w:style w:type="character" w:customStyle="1" w:styleId="27">
    <w:name w:val="[Ростех] Простой текст (Без уровня) Знак"/>
    <w:basedOn w:val="3"/>
    <w:link w:val="26"/>
    <w:qFormat/>
    <w:uiPriority w:val="99"/>
    <w:rPr>
      <w:rFonts w:ascii="Proxima Nova ExCn Rg" w:hAnsi="Proxima Nova ExCn Rg" w:eastAsia="Times New Roman"/>
      <w:sz w:val="28"/>
      <w:szCs w:val="28"/>
      <w:lang w:eastAsia="ru-RU"/>
    </w:rPr>
  </w:style>
  <w:style w:type="paragraph" w:customStyle="1" w:styleId="28">
    <w:name w:val="[Ростех] Текст Подпункта (Уровень 5)"/>
    <w:qFormat/>
    <w:uiPriority w:val="99"/>
    <w:pPr>
      <w:numPr>
        <w:ilvl w:val="3"/>
        <w:numId w:val="2"/>
      </w:numPr>
      <w:suppressAutoHyphens/>
      <w:spacing w:before="120" w:beforeAutospacing="0" w:after="0" w:afterAutospacing="0"/>
      <w:jc w:val="both"/>
      <w:outlineLvl w:val="4"/>
    </w:pPr>
    <w:rPr>
      <w:rFonts w:ascii="Proxima Nova ExCn Rg" w:hAnsi="Proxima Nova ExCn Rg" w:eastAsia="Times New Roman" w:cs="Times New Roman"/>
      <w:sz w:val="28"/>
      <w:szCs w:val="28"/>
      <w:lang w:val="ru-RU" w:eastAsia="ru-RU" w:bidi="ar-SA"/>
    </w:rPr>
  </w:style>
  <w:style w:type="paragraph" w:customStyle="1" w:styleId="29">
    <w:name w:val="[Ростех] Текст Пункта (Уровень 4)"/>
    <w:qFormat/>
    <w:uiPriority w:val="99"/>
    <w:pPr>
      <w:numPr>
        <w:ilvl w:val="2"/>
        <w:numId w:val="2"/>
      </w:numPr>
      <w:suppressAutoHyphens/>
      <w:spacing w:before="120" w:beforeAutospacing="0" w:after="0" w:afterAutospacing="0"/>
      <w:jc w:val="both"/>
      <w:outlineLvl w:val="3"/>
    </w:pPr>
    <w:rPr>
      <w:rFonts w:ascii="Proxima Nova ExCn Rg" w:hAnsi="Proxima Nova ExCn Rg" w:eastAsia="Times New Roman" w:cs="Times New Roman"/>
      <w:sz w:val="28"/>
      <w:szCs w:val="28"/>
      <w:lang w:val="ru-RU" w:eastAsia="ru-RU" w:bidi="ar-SA"/>
    </w:rPr>
  </w:style>
  <w:style w:type="character" w:customStyle="1" w:styleId="30">
    <w:name w:val="Текст сноски Знак"/>
    <w:basedOn w:val="3"/>
    <w:link w:val="8"/>
    <w:qFormat/>
    <w:uiPriority w:val="0"/>
    <w:rPr>
      <w:rFonts w:eastAsia="Times New Roman"/>
      <w:sz w:val="20"/>
      <w:lang w:eastAsia="ru-RU"/>
    </w:rPr>
  </w:style>
  <w:style w:type="paragraph" w:customStyle="1" w:styleId="31">
    <w:name w:val="[Ростех] Наименование Раздела (Уровень 2)"/>
    <w:qFormat/>
    <w:uiPriority w:val="99"/>
    <w:pPr>
      <w:keepNext/>
      <w:keepLines/>
      <w:suppressAutoHyphens/>
      <w:spacing w:before="240" w:beforeAutospacing="0" w:after="0" w:afterAutospacing="0"/>
      <w:ind w:left="1134" w:hanging="1134"/>
      <w:jc w:val="center"/>
      <w:outlineLvl w:val="1"/>
    </w:pPr>
    <w:rPr>
      <w:rFonts w:ascii="Proxima Nova ExCn Rg" w:hAnsi="Proxima Nova ExCn Rg" w:eastAsia="Times New Roman" w:cs="Times New Roman"/>
      <w:b/>
      <w:sz w:val="28"/>
      <w:szCs w:val="28"/>
      <w:lang w:val="ru-RU" w:eastAsia="ru-RU" w:bidi="ar-SA"/>
    </w:rPr>
  </w:style>
  <w:style w:type="paragraph" w:customStyle="1" w:styleId="32">
    <w:name w:val="[Ростех] Текст Подпункта подпункта (Уровень 6)"/>
    <w:qFormat/>
    <w:uiPriority w:val="99"/>
    <w:pPr>
      <w:suppressAutoHyphens/>
      <w:spacing w:before="120" w:beforeAutospacing="0" w:after="0" w:afterAutospacing="0"/>
      <w:ind w:left="2977" w:hanging="850"/>
      <w:jc w:val="both"/>
      <w:outlineLvl w:val="5"/>
    </w:pPr>
    <w:rPr>
      <w:rFonts w:ascii="Proxima Nova ExCn Rg" w:hAnsi="Proxima Nova ExCn Rg" w:eastAsia="Times New Roman" w:cs="Times New Roman"/>
      <w:sz w:val="28"/>
      <w:szCs w:val="28"/>
      <w:lang w:val="ru-RU" w:eastAsia="ru-RU" w:bidi="ar-SA"/>
    </w:rPr>
  </w:style>
  <w:style w:type="character" w:customStyle="1" w:styleId="33">
    <w:name w:val="[Ростех] Наименование Подраздела (Уровень 3) Знак"/>
    <w:basedOn w:val="3"/>
    <w:link w:val="25"/>
    <w:qFormat/>
    <w:uiPriority w:val="99"/>
    <w:rPr>
      <w:rFonts w:ascii="Proxima Nova ExCn Rg" w:hAnsi="Proxima Nova ExCn Rg" w:eastAsia="Times New Roman"/>
      <w:b/>
      <w:sz w:val="28"/>
      <w:szCs w:val="28"/>
      <w:lang w:eastAsia="ru-RU"/>
    </w:rPr>
  </w:style>
  <w:style w:type="paragraph" w:customStyle="1" w:styleId="34">
    <w:name w:val="РГ_Заголовок 1"/>
    <w:basedOn w:val="2"/>
    <w:link w:val="35"/>
    <w:qFormat/>
    <w:uiPriority w:val="0"/>
    <w:pPr>
      <w:keepLines/>
      <w:shd w:val="clear" w:color="auto" w:fill="FFFFFF"/>
      <w:tabs>
        <w:tab w:val="left" w:pos="284"/>
        <w:tab w:val="left" w:pos="426"/>
        <w:tab w:val="left" w:pos="567"/>
        <w:tab w:val="left" w:pos="709"/>
      </w:tabs>
      <w:autoSpaceDE w:val="0"/>
      <w:autoSpaceDN w:val="0"/>
      <w:spacing w:before="240"/>
    </w:pPr>
    <w:rPr>
      <w:rFonts w:ascii="Times New Roman" w:hAnsi="Times New Roman" w:eastAsia="Calibri"/>
      <w:caps/>
      <w:color w:val="FF0000"/>
      <w:kern w:val="36"/>
      <w:sz w:val="28"/>
      <w:szCs w:val="28"/>
      <w:lang w:val="ru-RU" w:eastAsia="ru-RU"/>
    </w:rPr>
  </w:style>
  <w:style w:type="character" w:customStyle="1" w:styleId="35">
    <w:name w:val="РГ_Заголовок 1 Знак"/>
    <w:link w:val="34"/>
    <w:qFormat/>
    <w:uiPriority w:val="0"/>
    <w:rPr>
      <w:rFonts w:eastAsia="Calibri"/>
      <w:b/>
      <w:bCs/>
      <w:caps/>
      <w:color w:val="FF0000"/>
      <w:kern w:val="36"/>
      <w:sz w:val="28"/>
      <w:szCs w:val="28"/>
      <w:shd w:val="clear" w:color="auto" w:fill="FFFFFF"/>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C691-87ED-4803-82A5-507C949F61C2}">
  <ds:schemaRefs/>
</ds:datastoreItem>
</file>

<file path=docProps/app.xml><?xml version="1.0" encoding="utf-8"?>
<Properties xmlns="http://schemas.openxmlformats.org/officeDocument/2006/extended-properties" xmlns:vt="http://schemas.openxmlformats.org/officeDocument/2006/docPropsVTypes">
  <Template>Normal</Template>
  <Pages>11</Pages>
  <Words>3564</Words>
  <Characters>20320</Characters>
  <Lines>169</Lines>
  <Paragraphs>47</Paragraphs>
  <TotalTime>20</TotalTime>
  <ScaleCrop>false</ScaleCrop>
  <LinksUpToDate>false</LinksUpToDate>
  <CharactersWithSpaces>23837</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2024-01-19T10:46:00Z</dcterms:created>
  <dc:creator>Анастасия Богатикова</dc:creator>
  <cp:lastModifiedBy>LIPNUS1</cp:lastModifiedBy>
  <cp:lastPrinted>2021-12-03T09:39:00Z</cp:lastPrinted>
  <dcterms:modified xsi:type="dcterms:W3CDTF">2024-06-27T12:32:09Z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B17E2913A0984E3688D5AD2A36988C52_12</vt:lpwstr>
  </property>
</Properties>
</file>