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00000" w:rsidRDefault="00247501">
      <w:pPr>
        <w:pStyle w:val="right"/>
        <w:rPr>
          <w:sz w:val="14"/>
          <w:szCs w:val="14"/>
        </w:rPr>
      </w:pPr>
      <w:r>
        <w:rPr>
          <w:sz w:val="14"/>
          <w:szCs w:val="14"/>
        </w:rPr>
        <w:t>Приложение №2</w:t>
      </w:r>
    </w:p>
    <w:p w:rsidR="00000000" w:rsidRDefault="00247501">
      <w:pPr>
        <w:pStyle w:val="1"/>
        <w:rPr>
          <w:rFonts w:eastAsia="Times New Roman"/>
        </w:rPr>
      </w:pPr>
      <w:r>
        <w:rPr>
          <w:rFonts w:eastAsia="Times New Roman"/>
        </w:rPr>
        <w:t>Спецификация по заявке "Капитальный ремонт зданий и сооружений для ООО "</w:t>
      </w:r>
      <w:proofErr w:type="spellStart"/>
      <w:r>
        <w:rPr>
          <w:rFonts w:eastAsia="Times New Roman"/>
        </w:rPr>
        <w:t>Татшина</w:t>
      </w:r>
      <w:proofErr w:type="spellEnd"/>
      <w:r>
        <w:rPr>
          <w:rFonts w:eastAsia="Times New Roman"/>
        </w:rPr>
        <w:t xml:space="preserve">" (г. Нижнекамск, </w:t>
      </w:r>
      <w:proofErr w:type="spellStart"/>
      <w:r>
        <w:rPr>
          <w:rFonts w:eastAsia="Times New Roman"/>
        </w:rPr>
        <w:t>Респ</w:t>
      </w:r>
      <w:proofErr w:type="spellEnd"/>
      <w:r>
        <w:rPr>
          <w:rFonts w:eastAsia="Times New Roman"/>
        </w:rPr>
        <w:t>. Татарстан)"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"/>
        <w:gridCol w:w="316"/>
        <w:gridCol w:w="6054"/>
        <w:gridCol w:w="1136"/>
        <w:gridCol w:w="568"/>
        <w:gridCol w:w="2399"/>
      </w:tblGrid>
      <w:tr w:rsidR="00AC60F7" w:rsidTr="00AC60F7">
        <w:trPr>
          <w:cantSplit/>
        </w:trPr>
        <w:tc>
          <w:tcPr>
            <w:tcW w:w="13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000000" w:rsidRDefault="002475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Лот</w:t>
            </w:r>
          </w:p>
        </w:tc>
        <w:tc>
          <w:tcPr>
            <w:tcW w:w="1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000000" w:rsidRDefault="002475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81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000000" w:rsidRDefault="002475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52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000000" w:rsidRDefault="002475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Ед. изм.</w:t>
            </w:r>
          </w:p>
        </w:tc>
        <w:tc>
          <w:tcPr>
            <w:tcW w:w="26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000000" w:rsidRDefault="002475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</w:t>
            </w:r>
          </w:p>
        </w:tc>
        <w:tc>
          <w:tcPr>
            <w:tcW w:w="11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  <w:hideMark/>
          </w:tcPr>
          <w:p w:rsidR="00000000" w:rsidRDefault="002475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Местоположение</w:t>
            </w:r>
          </w:p>
        </w:tc>
      </w:tr>
      <w:tr w:rsidR="00AC60F7" w:rsidTr="00AC60F7">
        <w:trPr>
          <w:cantSplit/>
        </w:trPr>
        <w:tc>
          <w:tcPr>
            <w:tcW w:w="13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00000" w:rsidRDefault="00247501">
            <w:pPr>
              <w:jc w:val="center"/>
            </w:pPr>
            <w:bookmarkStart w:id="0" w:name="_GoBack" w:colFirst="3" w:colLast="3"/>
            <w:r>
              <w:t>1</w:t>
            </w:r>
          </w:p>
        </w:tc>
        <w:tc>
          <w:tcPr>
            <w:tcW w:w="1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00000" w:rsidRDefault="00247501">
            <w:pPr>
              <w:jc w:val="center"/>
            </w:pPr>
            <w:r>
              <w:t>1</w:t>
            </w:r>
          </w:p>
        </w:tc>
        <w:tc>
          <w:tcPr>
            <w:tcW w:w="281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00000" w:rsidRDefault="00247501">
            <w:r>
              <w:t>Капитальный ремонт зд</w:t>
            </w:r>
            <w:r>
              <w:t xml:space="preserve">ания/сооружения ООО "ЭШС" Капитальный ремонт Каркасного засыпного фильтра (8 секций); Фильтровальной станции №2 корпус №121 </w:t>
            </w:r>
          </w:p>
        </w:tc>
        <w:tc>
          <w:tcPr>
            <w:tcW w:w="52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00000" w:rsidRDefault="00247501">
            <w:pPr>
              <w:jc w:val="center"/>
            </w:pPr>
            <w:proofErr w:type="spellStart"/>
            <w:r>
              <w:t>Комп.работ</w:t>
            </w:r>
            <w:proofErr w:type="spellEnd"/>
          </w:p>
        </w:tc>
        <w:tc>
          <w:tcPr>
            <w:tcW w:w="26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00000" w:rsidRDefault="00247501">
            <w:pPr>
              <w:jc w:val="center"/>
            </w:pPr>
            <w:r>
              <w:t>1</w:t>
            </w:r>
          </w:p>
        </w:tc>
        <w:tc>
          <w:tcPr>
            <w:tcW w:w="11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00000" w:rsidRDefault="00247501">
            <w:r>
              <w:t xml:space="preserve">Россия, </w:t>
            </w:r>
            <w:proofErr w:type="spellStart"/>
            <w:r>
              <w:t>Респ</w:t>
            </w:r>
            <w:proofErr w:type="spellEnd"/>
            <w:r>
              <w:t xml:space="preserve">. Татарстан, </w:t>
            </w:r>
            <w:proofErr w:type="spellStart"/>
            <w:r>
              <w:t>Нижекамский</w:t>
            </w:r>
            <w:proofErr w:type="spellEnd"/>
            <w:r>
              <w:t>, г. Нижнекамск, тер. Промзона</w:t>
            </w:r>
          </w:p>
        </w:tc>
      </w:tr>
      <w:bookmarkEnd w:id="0"/>
      <w:tr w:rsidR="00AC60F7" w:rsidTr="00AC60F7">
        <w:trPr>
          <w:cantSplit/>
        </w:trPr>
        <w:tc>
          <w:tcPr>
            <w:tcW w:w="13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00000" w:rsidRDefault="00247501">
            <w:pPr>
              <w:jc w:val="center"/>
            </w:pPr>
            <w:r>
              <w:t>1</w:t>
            </w:r>
          </w:p>
        </w:tc>
        <w:tc>
          <w:tcPr>
            <w:tcW w:w="1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00000" w:rsidRDefault="00247501">
            <w:pPr>
              <w:jc w:val="center"/>
            </w:pPr>
            <w:r>
              <w:t>2</w:t>
            </w:r>
          </w:p>
        </w:tc>
        <w:tc>
          <w:tcPr>
            <w:tcW w:w="281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00000" w:rsidRDefault="00247501">
            <w:r>
              <w:t>Капитальный ремонт здания/сооружения ПАО "НКШ"</w:t>
            </w:r>
            <w:r>
              <w:t>. Установка мобильного центра обработки данных в осях Т/50-52 на отм.0.00." Корпус №1</w:t>
            </w:r>
          </w:p>
        </w:tc>
        <w:tc>
          <w:tcPr>
            <w:tcW w:w="52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00000" w:rsidRDefault="00247501">
            <w:pPr>
              <w:jc w:val="center"/>
            </w:pPr>
            <w:proofErr w:type="spellStart"/>
            <w:r>
              <w:t>Комп.работ</w:t>
            </w:r>
            <w:proofErr w:type="spellEnd"/>
          </w:p>
        </w:tc>
        <w:tc>
          <w:tcPr>
            <w:tcW w:w="26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00000" w:rsidRDefault="00247501">
            <w:pPr>
              <w:jc w:val="center"/>
            </w:pPr>
            <w:r>
              <w:t>1</w:t>
            </w:r>
          </w:p>
        </w:tc>
        <w:tc>
          <w:tcPr>
            <w:tcW w:w="11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00000" w:rsidRDefault="00247501">
            <w:r>
              <w:t xml:space="preserve">Россия, </w:t>
            </w:r>
            <w:proofErr w:type="spellStart"/>
            <w:r>
              <w:t>Респ</w:t>
            </w:r>
            <w:proofErr w:type="spellEnd"/>
            <w:r>
              <w:t xml:space="preserve">. Татарстан, </w:t>
            </w:r>
            <w:proofErr w:type="spellStart"/>
            <w:r>
              <w:t>Нижекамский</w:t>
            </w:r>
            <w:proofErr w:type="spellEnd"/>
            <w:r>
              <w:t>, г. Нижнекамск, тер. Промзона</w:t>
            </w:r>
          </w:p>
        </w:tc>
      </w:tr>
      <w:tr w:rsidR="00AC60F7" w:rsidTr="00AC60F7">
        <w:trPr>
          <w:cantSplit/>
        </w:trPr>
        <w:tc>
          <w:tcPr>
            <w:tcW w:w="132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00000" w:rsidRDefault="00247501">
            <w:pPr>
              <w:jc w:val="center"/>
            </w:pPr>
            <w:r>
              <w:t>1</w:t>
            </w:r>
          </w:p>
        </w:tc>
        <w:tc>
          <w:tcPr>
            <w:tcW w:w="14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00000" w:rsidRDefault="00247501">
            <w:pPr>
              <w:jc w:val="center"/>
            </w:pPr>
            <w:r>
              <w:t>3</w:t>
            </w:r>
          </w:p>
        </w:tc>
        <w:tc>
          <w:tcPr>
            <w:tcW w:w="281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00000" w:rsidRDefault="00247501">
            <w:r>
              <w:t xml:space="preserve">Капитальный ремонт здания/сооружения ООО "НМЗ". Капитальный ремонт. Корпус № 16. Конференц-зал на </w:t>
            </w:r>
            <w:proofErr w:type="spellStart"/>
            <w:r>
              <w:t>отм</w:t>
            </w:r>
            <w:proofErr w:type="spellEnd"/>
            <w:r>
              <w:t>. 0,000. Отопление и вентиляция (инв. №00000002)</w:t>
            </w:r>
          </w:p>
        </w:tc>
        <w:tc>
          <w:tcPr>
            <w:tcW w:w="528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00000" w:rsidRDefault="00247501">
            <w:pPr>
              <w:jc w:val="center"/>
            </w:pPr>
            <w:proofErr w:type="spellStart"/>
            <w:r>
              <w:t>Комп.работ</w:t>
            </w:r>
            <w:proofErr w:type="spellEnd"/>
          </w:p>
        </w:tc>
        <w:tc>
          <w:tcPr>
            <w:tcW w:w="26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noWrap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00000" w:rsidRDefault="00247501">
            <w:pPr>
              <w:jc w:val="center"/>
            </w:pPr>
            <w:r>
              <w:t>1</w:t>
            </w:r>
          </w:p>
        </w:tc>
        <w:tc>
          <w:tcPr>
            <w:tcW w:w="1115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00000" w:rsidRDefault="00247501">
            <w:r>
              <w:t xml:space="preserve">Россия, </w:t>
            </w:r>
            <w:proofErr w:type="spellStart"/>
            <w:r>
              <w:t>Респ</w:t>
            </w:r>
            <w:proofErr w:type="spellEnd"/>
            <w:r>
              <w:t xml:space="preserve">. Татарстан, </w:t>
            </w:r>
            <w:proofErr w:type="spellStart"/>
            <w:r>
              <w:t>Нижекамский</w:t>
            </w:r>
            <w:proofErr w:type="spellEnd"/>
            <w:r>
              <w:t>, г. Нижнекамск, тер. Промзона</w:t>
            </w:r>
          </w:p>
        </w:tc>
      </w:tr>
    </w:tbl>
    <w:p w:rsidR="00000000" w:rsidRDefault="00247501">
      <w:pPr>
        <w:pStyle w:val="a3"/>
        <w:rPr>
          <w:sz w:val="14"/>
          <w:szCs w:val="14"/>
        </w:rPr>
      </w:pPr>
      <w:r>
        <w:rPr>
          <w:sz w:val="14"/>
          <w:szCs w:val="14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8"/>
        <w:gridCol w:w="9549"/>
      </w:tblGrid>
      <w:tr w:rsidR="00000000">
        <w:trPr>
          <w:cantSplit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00000" w:rsidRDefault="00247501">
            <w:r>
              <w:t>Гарантия качества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00000" w:rsidRDefault="00247501">
            <w:r>
              <w:t>Гаран</w:t>
            </w:r>
            <w:r>
              <w:t>тия качества выполненных работ/оказанных услуг –24 месяца, Соответствие выполненных работ/оказанных услуг СНиП, ГОСТ, ТУ и других нормативных актов.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00000" w:rsidRDefault="00247501">
            <w:r>
              <w:t>Сроки предоставления услуг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00000" w:rsidRDefault="00247501">
            <w:r>
              <w:t>С даты заключения договора (не позднее 01.10.2024) по 31.03.2025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00000" w:rsidRDefault="00247501">
            <w:r>
              <w:t>Порядок индек</w:t>
            </w:r>
            <w:r>
              <w:t>сации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00000" w:rsidRDefault="00247501">
            <w:r>
              <w:t>Порядок индексации стоимости представлен в Приложении 8. «Финансовые документы».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00000" w:rsidRDefault="00247501">
            <w:r>
              <w:t>Форма расчетов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00000" w:rsidRDefault="00247501">
            <w:r>
              <w:t>Размер аванса составляет не более 30% от стоимости предстоящего месячного объёма работ/услуг. Расчеты по Договору производятся Заказчиком путем перечисления денежных средств на расчетный счет Исполнителя / Подрядчика в первый рабочий вторник или четверг (в</w:t>
            </w:r>
            <w:r>
              <w:t xml:space="preserve"> зависимости от того, что наступит раньше) по истечении 60 календарных дней с даты подписания обеими сторонами УПД (базовые условия), либо Акта выполненных работ, оказанных услуг (Форма №Н-А4), при условии своевременного предоставления счета-фактуры. Участ</w:t>
            </w:r>
            <w:r>
              <w:t>ник на тендере может предложить скидку за сокращение отсрочки платежа до 30 календарных дней. Выбор победителя осуществляется путем приведения цен с различными условиями оплаты к единым условиям с использованием финансового калькулятора (Приложение 8. «Фин</w:t>
            </w:r>
            <w:r>
              <w:t>ансовые документы»</w:t>
            </w:r>
            <w:proofErr w:type="gramStart"/>
            <w:r>
              <w:t>),с</w:t>
            </w:r>
            <w:proofErr w:type="gramEnd"/>
            <w:r>
              <w:t xml:space="preserve"> учетом экономической целесообразности. В случае готовности подачи предложения с отсрочкой платежа, превышающей 60 календарных дней, участник в составе документации должен приложить письмо с указанием увеличенного срока отсрочки платеж</w:t>
            </w:r>
            <w:r>
              <w:t>а (на бланке предприятия).</w:t>
            </w:r>
          </w:p>
          <w:p w:rsidR="00000000" w:rsidRDefault="00247501">
            <w:r>
              <w:t>По данной закупке действует поддержка субъектов малого и среднего предпринимательства (МСП). В случае, если разница между лучшим предложением и предложением субъекта МСП составляет не более 10%, то победителем определяется субъек</w:t>
            </w:r>
            <w:r>
              <w:t>т МСП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00000" w:rsidRDefault="00247501">
            <w:r>
              <w:t>Важная информация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00000" w:rsidRDefault="00247501">
            <w:r>
              <w:t xml:space="preserve">В данной закупке предусмотрено предоставление выписки из сервиса оценки ЮЛ. </w:t>
            </w:r>
          </w:p>
          <w:p w:rsidR="00000000" w:rsidRDefault="00247501">
            <w:r>
              <w:t>При разнице не более 10%* между лучшим предложением со статусом «Не соответствует» по критериям 1-го этапа оценки в Выписке (либо Выписка не представлена)</w:t>
            </w:r>
            <w:r>
              <w:t xml:space="preserve"> и предложением следующего участника по рангу со статусом «Соответствует» договор заключается со следующим по рангу участником. </w:t>
            </w:r>
          </w:p>
          <w:p w:rsidR="00000000" w:rsidRDefault="00247501">
            <w:r>
              <w:t>*В случае разницы стоимости предложений более 10 млн. руб. заключение договора с участником со статусом «Не соответствует» возм</w:t>
            </w:r>
            <w:r>
              <w:t>ожно с внесением налоговых оговорок и наделением обязательств предоставления Выписки со статусом «Соответствует».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00000" w:rsidRDefault="00247501">
            <w:r>
              <w:lastRenderedPageBreak/>
              <w:t>Основные условия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00000" w:rsidRDefault="00247501">
            <w:r>
              <w:t xml:space="preserve">Лот делим на 3 </w:t>
            </w:r>
            <w:proofErr w:type="spellStart"/>
            <w:r>
              <w:t>подлота</w:t>
            </w:r>
            <w:proofErr w:type="spellEnd"/>
            <w:r>
              <w:t xml:space="preserve"> по Заказчикам.</w:t>
            </w:r>
          </w:p>
          <w:p w:rsidR="00000000" w:rsidRDefault="00247501">
            <w:r>
              <w:t>С порядком возможного распределения объёма работ можно ознакомиться в п.7.3.12 «Выдерж</w:t>
            </w:r>
            <w:r>
              <w:t>ки из Стандарта предприятий «Закупка работ, услуг для предприятий KAMA TYRES», опубликованном на официальном сайте ООО «</w:t>
            </w:r>
            <w:proofErr w:type="spellStart"/>
            <w:r>
              <w:t>Татшина</w:t>
            </w:r>
            <w:proofErr w:type="spellEnd"/>
            <w:r>
              <w:t>» в разделе «Закупки» (http://shina-kama.ru/procurement), доступ к данному документу открыт для всех желающих.</w:t>
            </w:r>
          </w:p>
          <w:p w:rsidR="00000000" w:rsidRDefault="00247501">
            <w:r>
              <w:t>1. Договор с Участ</w:t>
            </w:r>
            <w:r>
              <w:t xml:space="preserve">ником - победителем тендера будет заключён на основании проекта договора, предоставленного Заказчиком (Приложение 6). Наличие поданного ценового предложения подтверждает согласие с условиями договора и подписание в течение 3 рабочих дней после поступления </w:t>
            </w:r>
            <w:r>
              <w:t xml:space="preserve">договора на подпись в системе Контур </w:t>
            </w:r>
            <w:proofErr w:type="spellStart"/>
            <w:r>
              <w:t>Диадок</w:t>
            </w:r>
            <w:proofErr w:type="spellEnd"/>
            <w:r>
              <w:t>, а также дальнейшее применение ЭДО для передачи первичных учетных документов;</w:t>
            </w:r>
          </w:p>
          <w:p w:rsidR="00000000" w:rsidRDefault="00247501">
            <w:r>
              <w:t>2. Стоимость работ/услуг должна быть указана в ценового предложении в рублях (без НДС) с учётом транспортных расходов и командировочны</w:t>
            </w:r>
            <w:r>
              <w:t>х затрат, затрат на страхование, уплату налогов, таможенных пошлин, сборов и других обязательных платежей. Выбор победителя закупки осуществляется с учетом совокупной стоимости основного и дополнительного объема работ/услуг (расценки на дополнительные виды</w:t>
            </w:r>
            <w:r>
              <w:t xml:space="preserve"> работ/услуг), а также с учетом затрат на ЗИП, сопутствующие и расходные материалы (при их наличии;</w:t>
            </w:r>
          </w:p>
          <w:p w:rsidR="00000000" w:rsidRDefault="00247501">
            <w:r>
              <w:t xml:space="preserve">3. Основным показателем ценового предложения на ЭТП является коэффициент к стоимости работ. Коэффициент на материалы не распространяется; </w:t>
            </w:r>
          </w:p>
          <w:p w:rsidR="00000000" w:rsidRDefault="00247501">
            <w:r>
              <w:t>4. Для оценки Уча</w:t>
            </w:r>
            <w:r>
              <w:t>стника (Подрядчика) используется приложение №2 «Критерии допуска участников»;</w:t>
            </w:r>
          </w:p>
          <w:p w:rsidR="00000000" w:rsidRDefault="00247501">
            <w:r>
              <w:t>5. Заказчик оставляет за собой право проведения технического аудита Участника – победителя тендера, на соответствие предъявляемым тендерной документацией требованиям, а также дос</w:t>
            </w:r>
            <w:r>
              <w:t xml:space="preserve">таточности мощностей участника для выполнения работ с учетом текущей загруженности </w:t>
            </w:r>
            <w:proofErr w:type="spellStart"/>
            <w:r>
              <w:t>предприятия.Доплнительно</w:t>
            </w:r>
            <w:proofErr w:type="spellEnd"/>
            <w:r>
              <w:t xml:space="preserve"> заказчик оставляет за собой право проверки квалификации ответственных руководителей и работников подрядных (субподрядных) организаций по вопросам пр</w:t>
            </w:r>
            <w:r>
              <w:t>омышленной безопасности и требований охраны труда в соответствии с утверждённым регламентом ООО «</w:t>
            </w:r>
            <w:proofErr w:type="spellStart"/>
            <w:r>
              <w:t>Татшина</w:t>
            </w:r>
            <w:proofErr w:type="spellEnd"/>
            <w:r>
              <w:t>» (9. Регламентирующие документы. Регламент проведения проверки знаний);</w:t>
            </w:r>
          </w:p>
          <w:p w:rsidR="00000000" w:rsidRDefault="00247501">
            <w:r>
              <w:t>6. Снижение стоимости работ в связи с уменьшением объёмов работ может не оформл</w:t>
            </w:r>
            <w:r>
              <w:t>яться дополнительным соглашением. В этом случае работа оплачивается за фактически выполненный объём работ;</w:t>
            </w:r>
          </w:p>
          <w:p w:rsidR="00000000" w:rsidRDefault="00247501">
            <w:r>
              <w:t>7. Типовые нормы и расценки для определения стоимости СМР приведены в справочнике (9. Регламентирующие документы. Справочник норм и расценок) Порядок</w:t>
            </w:r>
            <w:r>
              <w:t xml:space="preserve"> согласования стоимости материалов определен в 9. Регламентирующие документы. Брошюра подрядчика ООО «</w:t>
            </w:r>
            <w:proofErr w:type="spellStart"/>
            <w:r>
              <w:t>Татшина</w:t>
            </w:r>
            <w:proofErr w:type="spellEnd"/>
            <w:r>
              <w:t>»;</w:t>
            </w:r>
          </w:p>
          <w:p w:rsidR="00000000" w:rsidRDefault="00247501">
            <w:r>
              <w:t>8. При расчётах применяется Методика определения стоимости строительной продукции на объектах капитального строительства, капитального ремонта и</w:t>
            </w:r>
            <w:r>
              <w:t xml:space="preserve"> инвестиционных проектов для ООО «</w:t>
            </w:r>
            <w:proofErr w:type="spellStart"/>
            <w:r>
              <w:t>Татшина</w:t>
            </w:r>
            <w:proofErr w:type="spellEnd"/>
            <w:r>
              <w:t>» (9. Регламентирующие документы. Справочник норм и расценок).</w:t>
            </w:r>
          </w:p>
          <w:p w:rsidR="00000000" w:rsidRDefault="00247501">
            <w:r>
              <w:t xml:space="preserve">Применение рыночных индексов к базовым ценам 2001 года (ФЕР, </w:t>
            </w:r>
            <w:proofErr w:type="spellStart"/>
            <w:r>
              <w:t>ФЕРр</w:t>
            </w:r>
            <w:proofErr w:type="spellEnd"/>
            <w:r>
              <w:t xml:space="preserve">, </w:t>
            </w:r>
            <w:proofErr w:type="spellStart"/>
            <w:r>
              <w:t>ФЕРм</w:t>
            </w:r>
            <w:proofErr w:type="spellEnd"/>
            <w:r>
              <w:t xml:space="preserve">, </w:t>
            </w:r>
            <w:proofErr w:type="spellStart"/>
            <w:r>
              <w:t>ФЕРп</w:t>
            </w:r>
            <w:proofErr w:type="spellEnd"/>
            <w:r>
              <w:t>.):</w:t>
            </w:r>
          </w:p>
          <w:p w:rsidR="00000000" w:rsidRDefault="00247501">
            <w:r>
              <w:t>• на эксплуатацию машин и механизмов К=8,13;</w:t>
            </w:r>
          </w:p>
          <w:p w:rsidR="00000000" w:rsidRDefault="00247501">
            <w:r>
              <w:t>• на зарплату рабочих и ме</w:t>
            </w:r>
            <w:r>
              <w:t>ханизаторов К=21,85;</w:t>
            </w:r>
          </w:p>
          <w:p w:rsidR="00000000" w:rsidRDefault="00247501">
            <w:r>
              <w:t>• на материалы К=4,95;</w:t>
            </w:r>
          </w:p>
          <w:p w:rsidR="00000000" w:rsidRDefault="00247501">
            <w:r>
              <w:t>• на пусконаладочные и наладочные работы (в области автоматизации производственных объектов) – 4,97;</w:t>
            </w:r>
          </w:p>
          <w:p w:rsidR="00000000" w:rsidRDefault="00247501">
            <w:r>
              <w:t>• на пусконаладочные и наладочные работы (за исключением работ в области автоматизации производственных объекто</w:t>
            </w:r>
            <w:r>
              <w:t>в) – 5,49;</w:t>
            </w:r>
          </w:p>
          <w:p w:rsidR="00000000" w:rsidRDefault="00247501">
            <w:r>
              <w:t>9. Антидемпинговые меры.</w:t>
            </w:r>
          </w:p>
          <w:p w:rsidR="00000000" w:rsidRDefault="00247501">
            <w:r>
              <w:t>В целях недопущения уклонения победителя закупки от исполнения договорных обязательств, недопущения нарушения технологии производства работ, обязанности по уплате налогов, сборов, страховых взносов, пеней, штрафов, иных обязательных платежей, подлежащих уп</w:t>
            </w:r>
            <w:r>
              <w:t>лате в соответствии с законодательством РФ и т.п. заказчик имеет право запросить у участника закупки обоснование демпинговой цены:</w:t>
            </w:r>
          </w:p>
          <w:p w:rsidR="00000000" w:rsidRDefault="00247501">
            <w:r>
              <w:t>- если участник закупки при подаче ценового предложения указывает общую стоимость своего ценового предложения ниже 25 % по от</w:t>
            </w:r>
            <w:r>
              <w:t xml:space="preserve">ношению к начальной (максимальной/предельной) цене договора, то он обязан вместе с ценовым предложением представить расчёт цены и ее обоснование, в случае если информация о цене была размещена в составе закупки; </w:t>
            </w:r>
          </w:p>
          <w:p w:rsidR="00000000" w:rsidRDefault="00247501">
            <w:r>
              <w:t>- если участник закупки при подаче ценового</w:t>
            </w:r>
            <w:r>
              <w:t xml:space="preserve"> предложения указывает общую стоимость своего ценового предложения ниже 25 % по отношению к среднеарифметической цене всех поданных участниками предложений то заказчик обязан запросить, а участник в течение 1 рабочего дня (8 часов) представить расчёт цены </w:t>
            </w:r>
            <w:r>
              <w:t>и ее обоснование.</w:t>
            </w:r>
          </w:p>
          <w:p w:rsidR="00000000" w:rsidRDefault="00247501">
            <w:r>
              <w:t>В случае отказа либо отсутствия предоставления обоснования с расшифровкой стоимости ценового предложения участника в установленные заказчиком сроки, комиссия по закупке (организатор закупки) принимает решение об отклонении заявки такого у</w:t>
            </w:r>
            <w:r>
              <w:t>частника, на основании условий п.10 документации по закупке (закупочной документации).</w:t>
            </w:r>
          </w:p>
          <w:p w:rsidR="00000000" w:rsidRDefault="00247501">
            <w:r>
              <w:t>12. Информация, указанная в спецификации в части сроков выполнения работ/оказания услуг, условий оплаты и авансирования, типов первичных документов, условий о привлечени</w:t>
            </w:r>
            <w:r>
              <w:t>и третьих лиц, а также условий гарантийных обязательств имеет преимущественное значение в сравнении с проектом договора, техническим заданием и иными документами, представленными на тендере. В случае наличия расхождений в указанных условиях между текстом п</w:t>
            </w:r>
            <w:r>
              <w:t>роекта договора и спецификацией, проект договора, при его заключении, подлежит изменению в соответствии со спецификацией.</w:t>
            </w:r>
          </w:p>
        </w:tc>
      </w:tr>
      <w:tr w:rsidR="00000000">
        <w:trPr>
          <w:cantSplit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00000" w:rsidRDefault="00247501">
            <w:r>
              <w:t>Условия подачи предложения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000000" w:rsidRDefault="00247501">
            <w:r>
              <w:t>Коэффициент к начальной стоимости работ без учёта материалов должен включать командировочные затраты и рас</w:t>
            </w:r>
            <w:r>
              <w:t>ходы на разъездной характер работ</w:t>
            </w:r>
          </w:p>
        </w:tc>
      </w:tr>
    </w:tbl>
    <w:p w:rsidR="00247501" w:rsidRDefault="00247501">
      <w:pPr>
        <w:spacing w:before="0" w:after="0"/>
        <w:rPr>
          <w:rFonts w:eastAsia="Times New Roman"/>
          <w:sz w:val="24"/>
          <w:szCs w:val="24"/>
        </w:rPr>
      </w:pPr>
    </w:p>
    <w:sectPr w:rsidR="00247501">
      <w:pgSz w:w="11907" w:h="16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0F7"/>
    <w:rsid w:val="00247501"/>
    <w:rsid w:val="00472A02"/>
    <w:rsid w:val="00AC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B1A9B5-54A9-4BEB-B7A3-674A18C3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before="24" w:after="24"/>
    </w:pPr>
    <w:rPr>
      <w:rFonts w:eastAsiaTheme="minorEastAsia"/>
      <w:sz w:val="14"/>
      <w:szCs w:val="14"/>
    </w:rPr>
  </w:style>
  <w:style w:type="paragraph" w:styleId="1">
    <w:name w:val="heading 1"/>
    <w:basedOn w:val="a"/>
    <w:link w:val="10"/>
    <w:uiPriority w:val="9"/>
    <w:qFormat/>
    <w:pPr>
      <w:spacing w:before="0" w:after="96"/>
      <w:jc w:val="center"/>
      <w:outlineLvl w:val="0"/>
    </w:pPr>
    <w:rPr>
      <w:b/>
      <w:bCs/>
      <w:kern w:val="36"/>
      <w:sz w:val="26"/>
      <w:szCs w:val="26"/>
    </w:rPr>
  </w:style>
  <w:style w:type="paragraph" w:styleId="2">
    <w:name w:val="heading 2"/>
    <w:basedOn w:val="a"/>
    <w:link w:val="20"/>
    <w:uiPriority w:val="9"/>
    <w:qFormat/>
    <w:pPr>
      <w:spacing w:before="96" w:after="96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editor">
    <w:name w:val="editor"/>
    <w:basedOn w:val="a"/>
    <w:pPr>
      <w:shd w:val="clear" w:color="auto" w:fill="EFEDED"/>
      <w:spacing w:before="100" w:beforeAutospacing="1" w:after="100" w:afterAutospacing="1"/>
    </w:pPr>
    <w:rPr>
      <w:color w:val="888888"/>
      <w:sz w:val="17"/>
      <w:szCs w:val="17"/>
    </w:rPr>
  </w:style>
  <w:style w:type="paragraph" w:customStyle="1" w:styleId="debug">
    <w:name w:val="debug"/>
    <w:basedOn w:val="a"/>
    <w:pPr>
      <w:shd w:val="clear" w:color="auto" w:fill="EFEDED"/>
      <w:spacing w:before="100" w:beforeAutospacing="1" w:after="100" w:afterAutospacing="1"/>
    </w:pPr>
    <w:rPr>
      <w:color w:val="888888"/>
      <w:sz w:val="17"/>
      <w:szCs w:val="17"/>
    </w:rPr>
  </w:style>
  <w:style w:type="paragraph" w:customStyle="1" w:styleId="num">
    <w:name w:val="num"/>
    <w:basedOn w:val="a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numc">
    <w:name w:val="numc"/>
    <w:basedOn w:val="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snum">
    <w:name w:val="snum"/>
    <w:basedOn w:val="a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desc">
    <w:name w:val="desc"/>
    <w:basedOn w:val="a"/>
    <w:pPr>
      <w:spacing w:before="100" w:beforeAutospacing="1" w:after="100" w:afterAutospacing="1"/>
    </w:pPr>
    <w:rPr>
      <w:color w:val="777777"/>
      <w:sz w:val="19"/>
      <w:szCs w:val="19"/>
    </w:rPr>
  </w:style>
  <w:style w:type="paragraph" w:customStyle="1" w:styleId="printformstat">
    <w:name w:val="printformstat"/>
    <w:basedOn w:val="a"/>
    <w:pPr>
      <w:pBdr>
        <w:top w:val="single" w:sz="6" w:space="3" w:color="CCCCCC"/>
        <w:left w:val="single" w:sz="6" w:space="3" w:color="CCCCCC"/>
        <w:bottom w:val="single" w:sz="6" w:space="3" w:color="CCCCCC"/>
        <w:right w:val="single" w:sz="6" w:space="3" w:color="CCCCCC"/>
      </w:pBdr>
      <w:shd w:val="clear" w:color="auto" w:fill="FFFFFF"/>
      <w:spacing w:before="100" w:beforeAutospacing="1" w:after="100" w:afterAutospacing="1"/>
    </w:pPr>
    <w:rPr>
      <w:rFonts w:ascii="Courier New" w:hAnsi="Courier New" w:cs="Courier New"/>
      <w:color w:val="777777"/>
    </w:rPr>
  </w:style>
  <w:style w:type="paragraph" w:customStyle="1" w:styleId="requeststat">
    <w:name w:val="requeststat"/>
    <w:basedOn w:val="a"/>
    <w:pPr>
      <w:pBdr>
        <w:top w:val="single" w:sz="6" w:space="3" w:color="CCCCCC"/>
        <w:left w:val="single" w:sz="6" w:space="3" w:color="CCCCCC"/>
        <w:bottom w:val="single" w:sz="6" w:space="3" w:color="CCCCCC"/>
        <w:right w:val="single" w:sz="6" w:space="3" w:color="CCCCCC"/>
      </w:pBdr>
      <w:shd w:val="clear" w:color="auto" w:fill="FFFFFF"/>
      <w:spacing w:before="100" w:beforeAutospacing="1" w:after="100" w:afterAutospacing="1"/>
    </w:pPr>
    <w:rPr>
      <w:rFonts w:ascii="Courier New" w:hAnsi="Courier New" w:cs="Courier New"/>
      <w:color w:val="777777"/>
    </w:rPr>
  </w:style>
  <w:style w:type="paragraph" w:customStyle="1" w:styleId="right">
    <w:name w:val="right"/>
    <w:basedOn w:val="a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date">
    <w:name w:val="date"/>
    <w:basedOn w:val="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noborders">
    <w:name w:val="noborders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autow">
    <w:name w:val="autow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desc1">
    <w:name w:val="desc1"/>
    <w:basedOn w:val="a"/>
    <w:pPr>
      <w:spacing w:before="100" w:beforeAutospacing="1" w:after="100" w:afterAutospacing="1"/>
    </w:pPr>
    <w:rPr>
      <w:color w:val="777777"/>
      <w:sz w:val="12"/>
      <w:szCs w:val="12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Спецификация по заявке</vt:lpstr>
    </vt:vector>
  </TitlesOfParts>
  <Company/>
  <LinksUpToDate>false</LinksUpToDate>
  <CharactersWithSpaces>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Спецификация по заявке</dc:title>
  <dc:subject/>
  <dc:creator>Сабитов Рафаэль Фиргатович</dc:creator>
  <cp:keywords/>
  <dc:description/>
  <cp:lastModifiedBy>Сабитов Рафаэль Фиргатович</cp:lastModifiedBy>
  <cp:revision>2</cp:revision>
  <dcterms:created xsi:type="dcterms:W3CDTF">2024-07-31T08:12:00Z</dcterms:created>
  <dcterms:modified xsi:type="dcterms:W3CDTF">2024-07-31T08:12:00Z</dcterms:modified>
</cp:coreProperties>
</file>