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5"/>
        <w:tblW w:w="0" w:type="auto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/>
        </w:tc>
        <w:tc>
          <w:tcPr>
            <w:tcW w:w="4672" w:type="dxa"/>
          </w:tcPr>
          <w:p/>
        </w:tc>
      </w:tr>
    </w:tbl>
    <w:p/>
    <w:p>
      <w:pPr>
        <w:jc w:val="both"/>
      </w:pPr>
    </w:p>
    <w:p>
      <w:pPr>
        <w:jc w:val="center"/>
      </w:pPr>
    </w:p>
    <w:tbl>
      <w:tblPr>
        <w:tblStyle w:val="8"/>
        <w:tblW w:w="10539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7"/>
        <w:gridCol w:w="4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5547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992" w:type="dxa"/>
            <w:shd w:val="clear" w:color="auto" w:fill="auto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Утверждаю:</w:t>
            </w:r>
          </w:p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АО «Липецкцемент»</w:t>
            </w:r>
          </w:p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Смирнов С.Н.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___________________</w:t>
            </w:r>
          </w:p>
          <w:p>
            <w:pPr>
              <w:rPr>
                <w:b/>
              </w:rPr>
            </w:pPr>
          </w:p>
        </w:tc>
      </w:tr>
    </w:tbl>
    <w:p>
      <w:pPr>
        <w:spacing w:after="120" w:line="288" w:lineRule="auto"/>
        <w:jc w:val="center"/>
        <w:rPr>
          <w:b/>
          <w:sz w:val="28"/>
          <w:szCs w:val="28"/>
          <w:lang w:val="en-US" w:eastAsia="en-US"/>
        </w:rPr>
      </w:pPr>
    </w:p>
    <w:p>
      <w:pPr>
        <w:spacing w:after="120" w:line="288" w:lineRule="auto"/>
        <w:jc w:val="right"/>
        <w:rPr>
          <w:b/>
          <w:lang w:val="en-US" w:eastAsia="en-US"/>
        </w:rPr>
      </w:pPr>
      <w:r>
        <w:rPr>
          <w:b/>
          <w:lang w:val="en-US" w:eastAsia="en-US"/>
        </w:rPr>
        <w:t>Приложение № 1 к СЗ</w:t>
      </w:r>
    </w:p>
    <w:p>
      <w:pPr>
        <w:spacing w:after="120" w:line="288" w:lineRule="auto"/>
        <w:jc w:val="center"/>
        <w:rPr>
          <w:b/>
          <w:sz w:val="28"/>
          <w:szCs w:val="28"/>
          <w:lang w:val="en-US" w:eastAsia="en-US"/>
        </w:rPr>
      </w:pPr>
    </w:p>
    <w:p>
      <w:pPr>
        <w:spacing w:after="120" w:line="288" w:lineRule="auto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 xml:space="preserve">ТЕХНИЧЕСКОЕ ЗАДАНИЕ </w:t>
      </w:r>
    </w:p>
    <w:p>
      <w:pPr>
        <w:spacing w:after="120"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на выполнение работ по ремонту здания отделения первичного дробления </w:t>
      </w:r>
    </w:p>
    <w:p>
      <w:pPr>
        <w:spacing w:after="120"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Инв.№10-10003 АО «Липецкцемент»</w:t>
      </w:r>
    </w:p>
    <w:p>
      <w:pPr>
        <w:spacing w:after="120" w:line="288" w:lineRule="auto"/>
        <w:jc w:val="center"/>
        <w:rPr>
          <w:b/>
          <w:sz w:val="8"/>
          <w:szCs w:val="8"/>
          <w:lang w:eastAsia="en-US"/>
        </w:rPr>
      </w:pPr>
    </w:p>
    <w:p>
      <w:pPr>
        <w:spacing w:after="120" w:line="276" w:lineRule="auto"/>
        <w:jc w:val="center"/>
        <w:rPr>
          <w:b/>
          <w:lang w:eastAsia="en-US"/>
        </w:rPr>
      </w:pPr>
    </w:p>
    <w:tbl>
      <w:tblPr>
        <w:tblStyle w:val="8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2521"/>
        <w:gridCol w:w="7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21" w:hanging="23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bookmarkStart w:id="0" w:name="RANGE!A2:C14"/>
            <w:r>
              <w:rPr>
                <w:b/>
                <w:bCs/>
                <w:sz w:val="20"/>
                <w:szCs w:val="20"/>
                <w:lang w:val="en-US" w:eastAsia="en-US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7277" w:type="dxa"/>
            <w:vAlign w:val="center"/>
          </w:tcPr>
          <w:p>
            <w:pPr>
              <w:spacing w:after="120" w:line="288" w:lineRule="auto"/>
              <w:ind w:left="-21" w:hanging="23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Основные данные и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Предмет договора </w:t>
            </w:r>
          </w:p>
        </w:tc>
        <w:tc>
          <w:tcPr>
            <w:tcW w:w="7277" w:type="dxa"/>
            <w:vAlign w:val="center"/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Выполнение работ по ремонту отделения первичного дробления Инв. №10-10003 </w:t>
            </w:r>
            <w:r>
              <w:rPr>
                <w:sz w:val="20"/>
                <w:szCs w:val="20"/>
                <w:lang w:eastAsia="en-US"/>
              </w:rPr>
              <w:t>АО «Липецкцемент»: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Сроки выполнения работ</w:t>
            </w:r>
            <w:r>
              <w:rPr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7277" w:type="dxa"/>
            <w:vAlign w:val="center"/>
          </w:tcPr>
          <w:p>
            <w:pPr>
              <w:spacing w:after="120" w:line="288" w:lineRule="auto"/>
              <w:ind w:left="-21" w:hanging="23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  <w:t>В течение 30 календарных дней с даты заключения договора (июнь-июль 2024 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Место проведения работ</w:t>
            </w:r>
          </w:p>
        </w:tc>
        <w:tc>
          <w:tcPr>
            <w:tcW w:w="7277" w:type="dxa"/>
          </w:tcPr>
          <w:p>
            <w:pPr>
              <w:tabs>
                <w:tab w:val="left" w:pos="2977"/>
                <w:tab w:val="left" w:pos="3544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«Липецкцемент», 398007, Липецкая область, г. Липецк, ул. Ковалева 126 Б.</w:t>
            </w:r>
          </w:p>
          <w:p>
            <w:pPr>
              <w:spacing w:after="120" w:line="288" w:lineRule="auto"/>
              <w:ind w:left="-21" w:hanging="23"/>
              <w:rPr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8" w:type="dxa"/>
            <w:gridSpan w:val="2"/>
            <w:vAlign w:val="center"/>
          </w:tcPr>
          <w:p>
            <w:pPr>
              <w:spacing w:after="120" w:line="288" w:lineRule="auto"/>
              <w:ind w:left="-21" w:hanging="2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Требования, предъявляемые к предмету закупки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277" w:type="dxa"/>
          </w:tcPr>
          <w:p>
            <w:pPr>
              <w:spacing w:after="120" w:line="288" w:lineRule="auto"/>
              <w:ind w:left="-21" w:hanging="23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  <w:t>Наименование, основные характеристики и объемы выполняемых работ приведены в Ведомости объемов работ №01-03-24 (Приложение №1), являющейся неотъемлемой частью данного Технического задания.</w:t>
            </w:r>
          </w:p>
          <w:p>
            <w:pPr>
              <w:ind w:left="-21" w:hanging="23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  <w:t>Примечание: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Подрядчик имеет неограниченное право ознакомиться на месте с предметом запроса (инспекция, осмотр), а также запросить у Заказчика любую дополнительную доступную информацию, которая касается предмета запроса. </w:t>
            </w:r>
            <w:r>
              <w:rPr>
                <w:sz w:val="20"/>
                <w:szCs w:val="20"/>
                <w:lang w:val="en-US" w:eastAsia="en-US"/>
              </w:rPr>
              <w:t>Оборудование и материалы поставляются Подрядчиком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Квалификационные требования к подрядчику, соответствие нормативным документам (лицензии, допуски, разрешения, согласования)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наличие опыта выполнения подобных работ, указанных в п.2.1 настоящего Технического задания не менее 2-х лет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Подрядчик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Подрядчик не должен являться неплатежеспособным или банкротом, не находится в процессе ликвидации, на имущество Подрядчика, в части существенной для исполнения Договора, не должен быть наложен арест. Экономическая деятельность Подрядчика не должна быть приостановлена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перед началом выполнения Работ по Договору предоставить список работников, привлеченных для выполнения Работ, с обязательным указанием паспортных данных, а также обеспечить явку этих работников для прохождения вводного инструктажа на предприятии Заказчика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перед началом работы Подрядчик предоставляет Заказчику приказы о назначении ответственных лиц за создание и обеспечение безопасных условий труда, и безопасное производство работ с грузоподъемными механизмами с указанием даты допуска к работе (при необходимости)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наличие допуска на проведение высотных работ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наличие всех необходимых свидетельств, аккредитаций, допусков и аттестаций в соответствии с действующим законодательством, позволяющих выполнять работы, указанных в п.2.1 настоящего Технического задания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при выполнении работ, указанных в п.2.1 настоящего Технического задания, Подрядчик обязуется обеспечить соблюдение своим персоналом и персоналом субподрядной организации правил внутреннего трудового распорядка, правил и норм по охране труда, промышленной и пожарной безопасности, экологии, графика работы и пропускного режима, действующих у Заказчика. Составление актов по форме Н-1 о несчастном случае на производстве с персоналом Подрядчика и ведение учета несчастных случаев осуществляет Подрядчик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Подрядчик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  На объекте проведения работ все работники Подрядчика должны находиться в спецодежде, спецобуви, защитных касках и других средств индивидуальной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Предоставляемая Заказчиком документация для подготовки ТКП</w:t>
            </w:r>
          </w:p>
        </w:tc>
        <w:tc>
          <w:tcPr>
            <w:tcW w:w="7277" w:type="dxa"/>
          </w:tcPr>
          <w:p>
            <w:pPr>
              <w:spacing w:line="288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  <w:t>1. Ведомость объемов работ №01-03-24 (Приложение №1)</w:t>
            </w:r>
          </w:p>
          <w:p>
            <w:pPr>
              <w:spacing w:line="288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2. Локальная смета №1 (Приложение №2) </w:t>
            </w:r>
          </w:p>
          <w:p>
            <w:pPr>
              <w:shd w:val="clear" w:color="auto" w:fill="FFFFFF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Порядок формирования стоимости работ (Приложение №3)</w:t>
            </w:r>
          </w:p>
          <w:p>
            <w:pPr>
              <w:shd w:val="clear" w:color="auto" w:fill="FFFFFF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Проект Договора (Приложение №4)</w:t>
            </w:r>
          </w:p>
          <w:p>
            <w:pPr>
              <w:shd w:val="clear" w:color="auto" w:fill="FFFFFF"/>
              <w:spacing w:line="288" w:lineRule="auto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Условия проведения закупки</w:t>
            </w:r>
          </w:p>
        </w:tc>
        <w:tc>
          <w:tcPr>
            <w:tcW w:w="7277" w:type="dxa"/>
          </w:tcPr>
          <w:p>
            <w:pPr>
              <w:numPr>
                <w:ilvl w:val="0"/>
                <w:numId w:val="2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предложение подрядной организации не должно превышать стоимость экспертной оценки Заказчика, приведенной в Локальной смете Заказчика №1 (Приложение №2)</w:t>
            </w:r>
          </w:p>
          <w:p>
            <w:pPr>
              <w:numPr>
                <w:ilvl w:val="0"/>
                <w:numId w:val="2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 результатам закупки подрядная организация заключает договор (Приложение №4) с приложением смет Заказчика №1 (Приложения №2), с применением понижающего коэффициента по результатам закупки</w:t>
            </w:r>
          </w:p>
          <w:p>
            <w:pPr>
              <w:numPr>
                <w:ilvl w:val="0"/>
                <w:numId w:val="2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 завершения подачи технико-коммерческих предложений настоящей закупки, участник закупки вправе направить замечания к предоставляемой Заказчиком документации, указанных в п.3 настоящего Технического задания</w:t>
            </w:r>
          </w:p>
          <w:p>
            <w:pPr>
              <w:numPr>
                <w:ilvl w:val="0"/>
                <w:numId w:val="2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организатор закупки Заказчика до завершения закупки обязан направить ответ участнику закупки на его замечания. Если по результатам выявленных замечаний вносятся изменения в закупочную документацию (п.3 Технического задания), то данные изменения доводятся до всех участников закупки, в т.ч. с возможным увеличением срока проведения закупочной процедуры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Предоставляемые Подрядчиком документы для участия в закупке</w:t>
            </w:r>
          </w:p>
        </w:tc>
        <w:tc>
          <w:tcPr>
            <w:tcW w:w="7277" w:type="dxa"/>
          </w:tcPr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Стоимостное предложение;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Комплект документов (проверка контрагента на благонадежность):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копии решений учредителя о создании общества, о назначении руководителя, а также копию приказа о его назначении;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копии свидетельств о регистрации контрагента и постановке его на учет в налоговом органе;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информационное письмо об учете контрагента в ЕГРПО;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выписку из Единого государственного реестра юридических лиц;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копию устава общества;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актуальную выписку из реестра членов СРО, на основании которой контрагент осуществляет свою деятельность (при стоимости работ по договору от 3 млн. руб.);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копию доверенности или иного документа, уполномочивающего конкретное лицо подписывать документы от имени организации;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выписку из банка об открытии счета;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копию банковской карточки с образцами подписей руководителя и бухгалтера;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документы, подтверждающие возможность выполнить договорные работы;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справку об опыте работы;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заявление о добросовестности контрагента (согласно образца прилагаемого Заказчиком).</w:t>
            </w:r>
          </w:p>
          <w:p>
            <w:pPr>
              <w:numPr>
                <w:ilvl w:val="0"/>
                <w:numId w:val="3"/>
              </w:numPr>
              <w:spacing w:after="120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Информацию об опыте работы подрядной организации (не менее 3-х лет)</w:t>
            </w:r>
          </w:p>
          <w:p>
            <w:pPr>
              <w:spacing w:line="276" w:lineRule="auto"/>
              <w:ind w:left="360"/>
              <w:contextualSpacing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(свободная форма).</w:t>
            </w:r>
          </w:p>
          <w:p>
            <w:pPr>
              <w:spacing w:after="240" w:line="276" w:lineRule="auto"/>
              <w:ind w:left="360"/>
              <w:contextualSpacing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4.    Согласие/замечания (свободная форма) к Ведомости объемов работ №01-03-24 (Приложение №1)</w:t>
            </w:r>
          </w:p>
          <w:p>
            <w:pPr>
              <w:spacing w:after="240" w:line="276" w:lineRule="auto"/>
              <w:contextualSpacing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      5.   Согласие/замечания (свободная форма) к Локальной смете Заказчика №1</w:t>
            </w:r>
          </w:p>
          <w:p>
            <w:pPr>
              <w:spacing w:after="240" w:line="276" w:lineRule="auto"/>
              <w:contextualSpacing/>
              <w:rPr>
                <w:sz w:val="20"/>
                <w:szCs w:val="20"/>
                <w:lang w:eastAsia="en-US" w:bidi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sz w:val="20"/>
                <w:szCs w:val="20"/>
                <w:lang w:eastAsia="en-US" w:bidi="en-US"/>
              </w:rPr>
              <w:t>(Приложение №2).</w:t>
            </w:r>
          </w:p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6.    Согласие с проектом договора (свободная форма) (Приложение №4)</w:t>
            </w:r>
          </w:p>
          <w:p>
            <w:pPr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7. </w:t>
            </w:r>
            <w:r>
              <w:rPr>
                <w:sz w:val="20"/>
                <w:szCs w:val="20"/>
                <w:lang w:eastAsia="en-US" w:bidi="en-US"/>
              </w:rPr>
              <w:t>До начала производства работ, Подрядчиком разрабатывается проект производства работ (ППР) и согласовывается с Заказчиком.</w:t>
            </w:r>
          </w:p>
          <w:p>
            <w:pPr>
              <w:spacing w:after="39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8.  Обязательное наличие у руководителей, специалистов и работников следующих документов:</w:t>
            </w:r>
          </w:p>
          <w:p>
            <w:pPr>
              <w:numPr>
                <w:ilvl w:val="0"/>
                <w:numId w:val="3"/>
              </w:numPr>
              <w:spacing w:after="39" w:line="276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Протоколы проверки знаний на ответственное лицо (получающее акт-допуск) в соответствии с Правилами обучения по охране труда и проверки знания требований охраны труда №2464, утвержденных Постановлением Правительства РФ:</w:t>
            </w:r>
          </w:p>
          <w:p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протокол проверки знаний по охране труда (общие </w:t>
            </w:r>
            <w:r>
              <w:rPr>
                <w:sz w:val="20"/>
                <w:szCs w:val="20"/>
                <w:lang w:eastAsia="en-US"/>
              </w:rPr>
              <w:t xml:space="preserve">требования); </w:t>
            </w:r>
          </w:p>
          <w:p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протокол проверки знаний по охране труда (оказание </w:t>
            </w:r>
            <w:r>
              <w:rPr>
                <w:sz w:val="20"/>
                <w:szCs w:val="20"/>
                <w:lang w:eastAsia="en-US"/>
              </w:rPr>
              <w:t>первой помощи</w:t>
            </w:r>
          </w:p>
          <w:p>
            <w:pPr>
              <w:spacing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пострадавшим);</w:t>
            </w:r>
          </w:p>
          <w:p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протокол проверки знаний по охране труда (использование(применение) средств индивидуальной защиты);</w:t>
            </w:r>
          </w:p>
          <w:p>
            <w:pPr>
              <w:pStyle w:val="30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по охране труда </w:t>
            </w:r>
            <w:r>
              <w:rPr>
                <w:b/>
                <w:sz w:val="20"/>
                <w:szCs w:val="20"/>
              </w:rPr>
              <w:t>при работе на высоте</w:t>
            </w:r>
            <w:r>
              <w:rPr>
                <w:sz w:val="20"/>
                <w:szCs w:val="20"/>
              </w:rPr>
              <w:t xml:space="preserve"> (3-я группа);</w:t>
            </w:r>
          </w:p>
          <w:p>
            <w:pPr>
              <w:pStyle w:val="30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по обеспечению пожарной безопасности лицами, ответственными за проведение противопожарного инструктажа при проведении сварочных, резательных работ (огневых работ);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протокол Ростехнадзора по аттестации в области </w:t>
            </w:r>
          </w:p>
          <w:p>
            <w:pPr>
              <w:spacing w:line="249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Б 9.3 - если проводятся работы с применением подъёмных</w:t>
            </w:r>
          </w:p>
          <w:p>
            <w:pPr>
              <w:spacing w:line="249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сооружений при перемещении грузов. </w:t>
            </w:r>
          </w:p>
          <w:p>
            <w:pPr>
              <w:numPr>
                <w:ilvl w:val="0"/>
                <w:numId w:val="3"/>
              </w:num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протокол Ростехнадзора по аттестации в области Б 9.4 - если проводятся работы с применением подъёмных сооружений при перемещении людей.</w:t>
            </w:r>
          </w:p>
          <w:p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Лицо, получающее наряд допуск </w:t>
            </w:r>
            <w:r>
              <w:rPr>
                <w:b/>
                <w:sz w:val="20"/>
                <w:szCs w:val="20"/>
                <w:lang w:eastAsia="en-US" w:bidi="en-US"/>
              </w:rPr>
              <w:t>при работе на высоте</w:t>
            </w:r>
            <w:r>
              <w:rPr>
                <w:sz w:val="20"/>
                <w:szCs w:val="20"/>
                <w:lang w:eastAsia="en-US" w:bidi="en-US"/>
              </w:rPr>
              <w:t>:</w:t>
            </w:r>
          </w:p>
          <w:p>
            <w:pPr>
              <w:pStyle w:val="30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удостоверение по охране труда </w:t>
            </w:r>
            <w:r>
              <w:rPr>
                <w:b/>
                <w:sz w:val="20"/>
                <w:szCs w:val="20"/>
                <w:lang w:eastAsia="en-US"/>
              </w:rPr>
              <w:t>при работе на высоте</w:t>
            </w:r>
            <w:r>
              <w:rPr>
                <w:sz w:val="20"/>
                <w:szCs w:val="20"/>
                <w:lang w:eastAsia="en-US"/>
              </w:rPr>
              <w:t xml:space="preserve"> (2-я группа) и протокол проверки знаний.</w:t>
            </w:r>
          </w:p>
          <w:p>
            <w:pPr>
              <w:numPr>
                <w:ilvl w:val="0"/>
                <w:numId w:val="3"/>
              </w:numPr>
              <w:spacing w:after="38" w:line="249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Рабочие профессии:</w:t>
            </w:r>
          </w:p>
          <w:p>
            <w:pPr>
              <w:numPr>
                <w:ilvl w:val="0"/>
                <w:numId w:val="3"/>
              </w:numPr>
              <w:spacing w:line="249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протокол проверки знаний по охране труда: (общие требования, оказание первой помощи пострадавшим, использование (применение) средств индивидуальной защиты) по профессии; </w:t>
            </w:r>
          </w:p>
          <w:p>
            <w:pPr>
              <w:pStyle w:val="30"/>
              <w:numPr>
                <w:ilvl w:val="0"/>
                <w:numId w:val="3"/>
              </w:numPr>
              <w:spacing w:line="238" w:lineRule="auto"/>
              <w:ind w:right="-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и протокол проверки знаний </w:t>
            </w:r>
            <w:r>
              <w:rPr>
                <w:b/>
                <w:sz w:val="20"/>
                <w:szCs w:val="20"/>
              </w:rPr>
              <w:t xml:space="preserve">при работе на высоте </w:t>
            </w:r>
            <w:r>
              <w:rPr>
                <w:sz w:val="20"/>
                <w:szCs w:val="20"/>
              </w:rPr>
              <w:t>(1-я группа).</w:t>
            </w:r>
          </w:p>
          <w:p>
            <w:pPr>
              <w:numPr>
                <w:ilvl w:val="0"/>
                <w:numId w:val="3"/>
              </w:numPr>
              <w:spacing w:after="120" w:line="249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Перед проведением вводного инструктажа подрядная организация должна предоставить в ООТ и ПБ:</w:t>
            </w:r>
          </w:p>
          <w:p>
            <w:pPr>
              <w:numPr>
                <w:ilvl w:val="0"/>
                <w:numId w:val="3"/>
              </w:numPr>
              <w:spacing w:line="249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приказ, заверенный синей печатью копия верна, о направлении ответственного лица, с указанием имеющихся протоколов, удостоверений.   (На фирменном бланке организации).</w:t>
            </w:r>
          </w:p>
          <w:p>
            <w:pPr>
              <w:pStyle w:val="30"/>
              <w:numPr>
                <w:ilvl w:val="0"/>
                <w:numId w:val="3"/>
              </w:numPr>
              <w:spacing w:line="249" w:lineRule="auto"/>
              <w:jc w:val="both"/>
            </w:pPr>
            <w:r>
              <w:rPr>
                <w:b/>
                <w:sz w:val="20"/>
                <w:szCs w:val="20"/>
              </w:rPr>
              <w:t>при работе на высоте</w:t>
            </w:r>
            <w:r>
              <w:rPr>
                <w:sz w:val="20"/>
                <w:szCs w:val="20"/>
              </w:rPr>
              <w:t xml:space="preserve"> предоставить проект производства работ (ППР), разработанный и утвержденный руководителем подрядной организации, согласованный с Техническим директором АО «Липецкцемент». К ППР должен быть приложен лист ознакомления работников подрядной организации под роспись</w:t>
            </w:r>
            <w:r>
              <w:t>.</w:t>
            </w:r>
          </w:p>
          <w:p>
            <w:pPr>
              <w:numPr>
                <w:ilvl w:val="0"/>
                <w:numId w:val="3"/>
              </w:numPr>
              <w:spacing w:after="120" w:line="249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направление на инструктаж в установленной форме с указанием Ф.И.О. сотрудника (полностью), должности, даты рождения (число, месяц, год) на фирменном бланке организации (Приложение 1 к настоящему приказу).</w:t>
            </w:r>
          </w:p>
          <w:p>
            <w:pPr>
              <w:numPr>
                <w:ilvl w:val="0"/>
                <w:numId w:val="3"/>
              </w:numPr>
              <w:spacing w:after="120" w:line="249" w:lineRule="auto"/>
              <w:contextualSpacing/>
              <w:jc w:val="both"/>
              <w:rPr>
                <w:i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если привлечение третьих лиц по договору предусмотрено, то указание их организации и документы на сотрудников их организации.</w:t>
            </w:r>
          </w:p>
          <w:p>
            <w:pPr>
              <w:spacing w:after="120" w:line="288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Ответственное лицо за организацию безопасного производства работ не может быть от другой организации, только от организации, с которой заключен договор.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стоимости работ по Договору</w:t>
            </w:r>
          </w:p>
        </w:tc>
        <w:tc>
          <w:tcPr>
            <w:tcW w:w="7277" w:type="dxa"/>
          </w:tcPr>
          <w:p>
            <w:pPr>
              <w:spacing w:after="120" w:line="28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формируется в соответствии с Порядком формирования стоимости работ (Приложение №3)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Условия приемки выполненных работ</w:t>
            </w:r>
          </w:p>
        </w:tc>
        <w:tc>
          <w:tcPr>
            <w:tcW w:w="7277" w:type="dxa"/>
          </w:tcPr>
          <w:p>
            <w:pPr>
              <w:spacing w:after="120" w:line="28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приемки выполненных работ по Договору указаны в проекте Договора разделы №3, №5, №6, №7, №8 (Приложение №4)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Условия оплаты</w:t>
            </w:r>
          </w:p>
        </w:tc>
        <w:tc>
          <w:tcPr>
            <w:tcW w:w="7277" w:type="dxa"/>
          </w:tcPr>
          <w:p>
            <w:pPr>
              <w:spacing w:after="120" w:line="28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Оплата Работ производится Заказчиком в 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течение 30 (тридцати) календарных дней</w:t>
            </w:r>
            <w:r>
              <w:rPr>
                <w:sz w:val="20"/>
                <w:szCs w:val="20"/>
                <w:lang w:eastAsia="en-US"/>
              </w:rPr>
              <w:t xml:space="preserve"> с момента подписания сторонами акта сдачи-приемки работ по форме КС-2.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сроку гарантийного периода</w:t>
            </w:r>
          </w:p>
        </w:tc>
        <w:tc>
          <w:tcPr>
            <w:tcW w:w="7277" w:type="dxa"/>
            <w:vAlign w:val="center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Гарантийный срок нормальной эксплуатации Объекта – не менее 24 (двадцать четыре) календарных месяцев с момента подписания сторонами Акта о приёмке выполненных работ по форме КС-2. </w:t>
            </w:r>
            <w:r>
              <w:rPr>
                <w:sz w:val="20"/>
                <w:szCs w:val="20"/>
                <w:lang w:val="en-US" w:eastAsia="en-US"/>
              </w:rPr>
              <w:t>Условия гарантийных обязательств указаны в проекте Договора раздел №9 (Приложение №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выполнения договора, ответственное лицо</w:t>
            </w:r>
          </w:p>
        </w:tc>
        <w:tc>
          <w:tcPr>
            <w:tcW w:w="7277" w:type="dxa"/>
            <w:vAlign w:val="center"/>
          </w:tcPr>
          <w:p>
            <w:pPr>
              <w:tabs>
                <w:tab w:val="left" w:pos="2977"/>
                <w:tab w:val="left" w:pos="3544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инженер по эксплуатации зданий, сооружений Гульдин Максим Александрович</w:t>
            </w:r>
          </w:p>
          <w:p>
            <w:pPr>
              <w:tabs>
                <w:tab w:val="left" w:pos="2977"/>
                <w:tab w:val="left" w:pos="3544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+7 (4742) 309-782 доб. 68-782</w:t>
            </w:r>
          </w:p>
          <w:p>
            <w:pPr>
              <w:tabs>
                <w:tab w:val="left" w:pos="2977"/>
                <w:tab w:val="left" w:pos="3544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моб. 8-903-028-41-43</w:t>
            </w:r>
          </w:p>
          <w:p>
            <w:pPr>
              <w:tabs>
                <w:tab w:val="left" w:pos="2977"/>
                <w:tab w:val="left" w:pos="3544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Guldin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cemros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120" w:line="288" w:lineRule="auto"/>
              <w:ind w:left="-113" w:right="-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1" w:type="dxa"/>
            <w:vAlign w:val="center"/>
          </w:tcPr>
          <w:p>
            <w:pPr>
              <w:spacing w:after="120" w:line="288" w:lineRule="auto"/>
              <w:ind w:left="-21" w:hanging="23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Приложения к ТЗ</w:t>
            </w:r>
          </w:p>
        </w:tc>
        <w:tc>
          <w:tcPr>
            <w:tcW w:w="7277" w:type="dxa"/>
            <w:vAlign w:val="center"/>
          </w:tcPr>
          <w:p>
            <w:pPr>
              <w:spacing w:line="288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  <w:t>1. Ведомость объемов работ №01-03-24 (Приложение №1)</w:t>
            </w:r>
          </w:p>
          <w:p>
            <w:pPr>
              <w:spacing w:line="288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2. Локальная смета №1 (Приложение №2) </w:t>
            </w:r>
          </w:p>
          <w:p>
            <w:pPr>
              <w:shd w:val="clear" w:color="auto" w:fill="FFFFFF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Порядок формирования стоимости работ (Приложение №3)</w:t>
            </w:r>
          </w:p>
          <w:p>
            <w:pPr>
              <w:shd w:val="clear" w:color="auto" w:fill="FFFFFF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Проект Договора (Приложение №4)</w:t>
            </w:r>
          </w:p>
          <w:p>
            <w:pPr>
              <w:shd w:val="clear" w:color="auto" w:fill="FFFFFF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Форма «График выполнения работ» (Приложение №5)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134" w:right="566" w:bottom="709" w:left="1134" w:header="709" w:footer="0" w:gutter="0"/>
      <w:cols w:space="720" w:num="1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  <w:p>
    <w:pPr>
      <w:pStyle w:val="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left="-567"/>
    </w:pPr>
    <w:bookmarkStart w:id="1" w:name="_Hlk127272861"/>
    <w:bookmarkStart w:id="2" w:name="_Hlk127272860"/>
    <w:bookmarkStart w:id="3" w:name="_Hlk127272830"/>
    <w:bookmarkStart w:id="4" w:name="_Hlk127272870"/>
    <w:bookmarkStart w:id="5" w:name="_Hlk127272871"/>
    <w:bookmarkStart w:id="6" w:name="_Hlk127272831"/>
  </w:p>
  <w:p>
    <w:pPr>
      <w:ind w:left="3540"/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</w:pPr>
    <w:bookmarkStart w:id="7" w:name="_Hlk127272817"/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092325" cy="419100"/>
          <wp:effectExtent l="0" t="0" r="3175" b="0"/>
          <wp:wrapTight wrapText="bothSides">
            <wp:wrapPolygon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r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092325" cy="419100"/>
          <wp:effectExtent l="0" t="0" r="3175" b="0"/>
          <wp:wrapTight wrapText="bothSides">
            <wp:wrapPolygon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>АО «Липецкцемент»</w:t>
    </w:r>
  </w:p>
  <w:p>
    <w:pPr>
      <w:ind w:left="3540"/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</w:pPr>
    <w:r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398007, Россия, Липецк, ул. Ковалева, влад. 126 Б, эт.2, офис 5</w:t>
    </w:r>
  </w:p>
  <w:p>
    <w:pPr>
      <w:ind w:left="3540"/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</w:pPr>
    <w:r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>+7 (4742) 48-18-08 I 8 800 700-63-63 I lipcem@cemros.ru I www.cemros.ru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A0EF1"/>
    <w:multiLevelType w:val="multilevel"/>
    <w:tmpl w:val="08AA0E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2CC45AF"/>
    <w:multiLevelType w:val="multilevel"/>
    <w:tmpl w:val="42CC45AF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67EC1911"/>
    <w:multiLevelType w:val="multilevel"/>
    <w:tmpl w:val="67EC1911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C0"/>
    <w:rsid w:val="0001264B"/>
    <w:rsid w:val="000B1A38"/>
    <w:rsid w:val="000B41DF"/>
    <w:rsid w:val="000C3B7E"/>
    <w:rsid w:val="000C3F3F"/>
    <w:rsid w:val="000D03C6"/>
    <w:rsid w:val="000E08A6"/>
    <w:rsid w:val="000E32C8"/>
    <w:rsid w:val="00114EB7"/>
    <w:rsid w:val="0011684F"/>
    <w:rsid w:val="001321B9"/>
    <w:rsid w:val="00167CF5"/>
    <w:rsid w:val="00173F89"/>
    <w:rsid w:val="00183912"/>
    <w:rsid w:val="001861D8"/>
    <w:rsid w:val="00186E11"/>
    <w:rsid w:val="00197359"/>
    <w:rsid w:val="001A4317"/>
    <w:rsid w:val="001A530A"/>
    <w:rsid w:val="001A7E91"/>
    <w:rsid w:val="001D50CA"/>
    <w:rsid w:val="001E4140"/>
    <w:rsid w:val="00215D4E"/>
    <w:rsid w:val="00222C04"/>
    <w:rsid w:val="002379E9"/>
    <w:rsid w:val="00242937"/>
    <w:rsid w:val="00271DAA"/>
    <w:rsid w:val="00282639"/>
    <w:rsid w:val="00296A5A"/>
    <w:rsid w:val="002A438E"/>
    <w:rsid w:val="002C49FE"/>
    <w:rsid w:val="00320BBC"/>
    <w:rsid w:val="00334A5E"/>
    <w:rsid w:val="00387B0B"/>
    <w:rsid w:val="00391EEB"/>
    <w:rsid w:val="003B5BB0"/>
    <w:rsid w:val="003E0566"/>
    <w:rsid w:val="003F2373"/>
    <w:rsid w:val="00400E9D"/>
    <w:rsid w:val="00434142"/>
    <w:rsid w:val="004405CD"/>
    <w:rsid w:val="00484B95"/>
    <w:rsid w:val="004A3CD0"/>
    <w:rsid w:val="004B4E4C"/>
    <w:rsid w:val="004C150F"/>
    <w:rsid w:val="004C572F"/>
    <w:rsid w:val="004F7784"/>
    <w:rsid w:val="00524371"/>
    <w:rsid w:val="00524DA9"/>
    <w:rsid w:val="00576683"/>
    <w:rsid w:val="00595F11"/>
    <w:rsid w:val="005A2488"/>
    <w:rsid w:val="005A24AE"/>
    <w:rsid w:val="005B759A"/>
    <w:rsid w:val="005C16CA"/>
    <w:rsid w:val="005C506C"/>
    <w:rsid w:val="005C7AFA"/>
    <w:rsid w:val="005F1481"/>
    <w:rsid w:val="005F1AED"/>
    <w:rsid w:val="00653461"/>
    <w:rsid w:val="006E3266"/>
    <w:rsid w:val="006E5317"/>
    <w:rsid w:val="00704DB9"/>
    <w:rsid w:val="00763218"/>
    <w:rsid w:val="00763962"/>
    <w:rsid w:val="00765195"/>
    <w:rsid w:val="007940CD"/>
    <w:rsid w:val="00795DC8"/>
    <w:rsid w:val="00796AAE"/>
    <w:rsid w:val="00821A20"/>
    <w:rsid w:val="0082726A"/>
    <w:rsid w:val="00830421"/>
    <w:rsid w:val="00830CAB"/>
    <w:rsid w:val="00844A63"/>
    <w:rsid w:val="00861A45"/>
    <w:rsid w:val="0088721A"/>
    <w:rsid w:val="008A5200"/>
    <w:rsid w:val="008A7231"/>
    <w:rsid w:val="008B3922"/>
    <w:rsid w:val="008D5145"/>
    <w:rsid w:val="008F5418"/>
    <w:rsid w:val="009038A6"/>
    <w:rsid w:val="00906473"/>
    <w:rsid w:val="009452F3"/>
    <w:rsid w:val="00951C74"/>
    <w:rsid w:val="00953D2C"/>
    <w:rsid w:val="00965172"/>
    <w:rsid w:val="009877A8"/>
    <w:rsid w:val="009A167C"/>
    <w:rsid w:val="009B4693"/>
    <w:rsid w:val="009B5307"/>
    <w:rsid w:val="009E0815"/>
    <w:rsid w:val="009E29BA"/>
    <w:rsid w:val="009F087F"/>
    <w:rsid w:val="009F65C6"/>
    <w:rsid w:val="00A30257"/>
    <w:rsid w:val="00A36D9C"/>
    <w:rsid w:val="00A51B0E"/>
    <w:rsid w:val="00A85093"/>
    <w:rsid w:val="00AB16A6"/>
    <w:rsid w:val="00AB1C20"/>
    <w:rsid w:val="00AC2DE8"/>
    <w:rsid w:val="00AC48EB"/>
    <w:rsid w:val="00B15433"/>
    <w:rsid w:val="00B157D8"/>
    <w:rsid w:val="00B4169D"/>
    <w:rsid w:val="00B53BC5"/>
    <w:rsid w:val="00B66180"/>
    <w:rsid w:val="00B75384"/>
    <w:rsid w:val="00B84D9D"/>
    <w:rsid w:val="00BA2E76"/>
    <w:rsid w:val="00BB3F4D"/>
    <w:rsid w:val="00C011DF"/>
    <w:rsid w:val="00C04434"/>
    <w:rsid w:val="00C31329"/>
    <w:rsid w:val="00C45AE9"/>
    <w:rsid w:val="00C62461"/>
    <w:rsid w:val="00C733DE"/>
    <w:rsid w:val="00C758E9"/>
    <w:rsid w:val="00CA39EF"/>
    <w:rsid w:val="00CB3532"/>
    <w:rsid w:val="00CC2FDC"/>
    <w:rsid w:val="00CD3BC0"/>
    <w:rsid w:val="00CF2050"/>
    <w:rsid w:val="00D164ED"/>
    <w:rsid w:val="00D3732F"/>
    <w:rsid w:val="00D6122C"/>
    <w:rsid w:val="00D76EB9"/>
    <w:rsid w:val="00D843A6"/>
    <w:rsid w:val="00D90865"/>
    <w:rsid w:val="00D941B7"/>
    <w:rsid w:val="00D96F85"/>
    <w:rsid w:val="00DA53FF"/>
    <w:rsid w:val="00DC28DA"/>
    <w:rsid w:val="00DE30CD"/>
    <w:rsid w:val="00DF0F87"/>
    <w:rsid w:val="00DF7302"/>
    <w:rsid w:val="00E0734D"/>
    <w:rsid w:val="00E3247E"/>
    <w:rsid w:val="00E42C78"/>
    <w:rsid w:val="00E43F55"/>
    <w:rsid w:val="00E554AE"/>
    <w:rsid w:val="00E55EDD"/>
    <w:rsid w:val="00E57D17"/>
    <w:rsid w:val="00E61A60"/>
    <w:rsid w:val="00E85D34"/>
    <w:rsid w:val="00E9272D"/>
    <w:rsid w:val="00E97789"/>
    <w:rsid w:val="00EA5BDA"/>
    <w:rsid w:val="00EB1A83"/>
    <w:rsid w:val="00EB2544"/>
    <w:rsid w:val="00EC73F0"/>
    <w:rsid w:val="00EF0627"/>
    <w:rsid w:val="00EF353E"/>
    <w:rsid w:val="00F01D15"/>
    <w:rsid w:val="00F433A7"/>
    <w:rsid w:val="00F46522"/>
    <w:rsid w:val="00F67E02"/>
    <w:rsid w:val="00F83CAD"/>
    <w:rsid w:val="00FB1B8C"/>
    <w:rsid w:val="00FC1AAF"/>
    <w:rsid w:val="00FC3FC3"/>
    <w:rsid w:val="00FC7C75"/>
    <w:rsid w:val="00FF068E"/>
    <w:rsid w:val="0E7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3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link w:val="27"/>
    <w:qFormat/>
    <w:uiPriority w:val="0"/>
    <w:pPr>
      <w:keepNext/>
      <w:ind w:firstLine="5928"/>
      <w:outlineLvl w:val="0"/>
    </w:pPr>
    <w:rPr>
      <w:b/>
      <w:bCs/>
      <w:sz w:val="28"/>
    </w:rPr>
  </w:style>
  <w:style w:type="paragraph" w:styleId="3">
    <w:name w:val="heading 2"/>
    <w:basedOn w:val="1"/>
    <w:qFormat/>
    <w:uiPriority w:val="0"/>
    <w:pPr>
      <w:keepNext/>
      <w:ind w:left="7200"/>
      <w:outlineLvl w:val="1"/>
    </w:pPr>
    <w:rPr>
      <w:b/>
      <w:sz w:val="28"/>
      <w:szCs w:val="20"/>
    </w:rPr>
  </w:style>
  <w:style w:type="paragraph" w:styleId="4">
    <w:name w:val="heading 3"/>
    <w:basedOn w:val="5"/>
    <w:qFormat/>
    <w:uiPriority w:val="0"/>
    <w:pPr>
      <w:outlineLvl w:val="2"/>
    </w:p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character" w:styleId="9">
    <w:name w:val="annotation reference"/>
    <w:basedOn w:val="7"/>
    <w:semiHidden/>
    <w:unhideWhenUsed/>
    <w:uiPriority w:val="0"/>
    <w:rPr>
      <w:sz w:val="16"/>
      <w:szCs w:val="16"/>
    </w:rPr>
  </w:style>
  <w:style w:type="character" w:styleId="10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page number"/>
    <w:basedOn w:val="7"/>
    <w:qFormat/>
    <w:uiPriority w:val="0"/>
  </w:style>
  <w:style w:type="character" w:styleId="12">
    <w:name w:val="Strong"/>
    <w:qFormat/>
    <w:uiPriority w:val="22"/>
    <w:rPr>
      <w:b/>
      <w:bCs/>
    </w:rPr>
  </w:style>
  <w:style w:type="paragraph" w:styleId="13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4">
    <w:name w:val="Body Text 2"/>
    <w:basedOn w:val="1"/>
    <w:link w:val="37"/>
    <w:semiHidden/>
    <w:unhideWhenUsed/>
    <w:uiPriority w:val="0"/>
    <w:pPr>
      <w:spacing w:after="120" w:line="480" w:lineRule="auto"/>
    </w:pPr>
  </w:style>
  <w:style w:type="paragraph" w:styleId="15">
    <w:name w:val="Body Text Indent 3"/>
    <w:basedOn w:val="1"/>
    <w:link w:val="38"/>
    <w:uiPriority w:val="0"/>
    <w:pPr>
      <w:spacing w:after="120"/>
      <w:ind w:left="283"/>
    </w:pPr>
    <w:rPr>
      <w:sz w:val="16"/>
      <w:szCs w:val="16"/>
    </w:rPr>
  </w:style>
  <w:style w:type="paragraph" w:styleId="16">
    <w:name w:val="caption"/>
    <w:basedOn w:val="1"/>
    <w:qFormat/>
    <w:uiPriority w:val="0"/>
    <w:pPr>
      <w:jc w:val="center"/>
    </w:pPr>
    <w:rPr>
      <w:b/>
      <w:sz w:val="44"/>
      <w:szCs w:val="20"/>
    </w:rPr>
  </w:style>
  <w:style w:type="paragraph" w:styleId="17">
    <w:name w:val="annotation text"/>
    <w:basedOn w:val="1"/>
    <w:link w:val="35"/>
    <w:semiHidden/>
    <w:unhideWhenUsed/>
    <w:uiPriority w:val="0"/>
    <w:rPr>
      <w:sz w:val="20"/>
      <w:szCs w:val="20"/>
    </w:rPr>
  </w:style>
  <w:style w:type="paragraph" w:styleId="18">
    <w:name w:val="annotation subject"/>
    <w:basedOn w:val="17"/>
    <w:next w:val="17"/>
    <w:link w:val="36"/>
    <w:semiHidden/>
    <w:unhideWhenUsed/>
    <w:uiPriority w:val="0"/>
    <w:rPr>
      <w:b/>
      <w:bCs/>
    </w:rPr>
  </w:style>
  <w:style w:type="paragraph" w:styleId="19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20">
    <w:name w:val="index heading"/>
    <w:basedOn w:val="1"/>
    <w:qFormat/>
    <w:uiPriority w:val="0"/>
    <w:pPr>
      <w:suppressLineNumbers/>
    </w:pPr>
    <w:rPr>
      <w:rFonts w:cs="Lucida Sans"/>
    </w:rPr>
  </w:style>
  <w:style w:type="paragraph" w:styleId="21">
    <w:name w:val="Title"/>
    <w:basedOn w:val="1"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2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3">
    <w:name w:val="List"/>
    <w:basedOn w:val="6"/>
    <w:uiPriority w:val="0"/>
    <w:rPr>
      <w:rFonts w:cs="Lucida Sans"/>
    </w:rPr>
  </w:style>
  <w:style w:type="paragraph" w:styleId="24">
    <w:name w:val="Subtitle"/>
    <w:basedOn w:val="5"/>
    <w:uiPriority w:val="0"/>
  </w:style>
  <w:style w:type="table" w:styleId="25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Текст выноски Знак"/>
    <w:qFormat/>
    <w:uiPriority w:val="0"/>
    <w:rPr>
      <w:rFonts w:ascii="Segoe UI" w:hAnsi="Segoe UI" w:cs="Segoe UI"/>
      <w:sz w:val="18"/>
      <w:szCs w:val="18"/>
    </w:rPr>
  </w:style>
  <w:style w:type="character" w:customStyle="1" w:styleId="27">
    <w:name w:val="Заголовок 1 Знак"/>
    <w:basedOn w:val="7"/>
    <w:link w:val="2"/>
    <w:qFormat/>
    <w:uiPriority w:val="0"/>
    <w:rPr>
      <w:b/>
      <w:bCs/>
      <w:sz w:val="28"/>
      <w:szCs w:val="24"/>
    </w:rPr>
  </w:style>
  <w:style w:type="character" w:customStyle="1" w:styleId="28">
    <w:name w:val="Верхний колонтитул Знак"/>
    <w:basedOn w:val="7"/>
    <w:qFormat/>
    <w:uiPriority w:val="99"/>
    <w:rPr>
      <w:sz w:val="24"/>
      <w:szCs w:val="24"/>
    </w:rPr>
  </w:style>
  <w:style w:type="character" w:customStyle="1" w:styleId="29">
    <w:name w:val="short_text"/>
    <w:basedOn w:val="7"/>
    <w:qFormat/>
    <w:uiPriority w:val="0"/>
  </w:style>
  <w:style w:type="paragraph" w:styleId="30">
    <w:name w:val="List Paragraph"/>
    <w:basedOn w:val="1"/>
    <w:link w:val="39"/>
    <w:qFormat/>
    <w:uiPriority w:val="34"/>
    <w:pPr>
      <w:ind w:left="720"/>
      <w:contextualSpacing/>
    </w:pPr>
  </w:style>
  <w:style w:type="paragraph" w:customStyle="1" w:styleId="31">
    <w:name w:val="Обычный1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32">
    <w:name w:val="Блочная цитата"/>
    <w:basedOn w:val="1"/>
    <w:qFormat/>
    <w:uiPriority w:val="0"/>
  </w:style>
  <w:style w:type="paragraph" w:customStyle="1" w:styleId="33">
    <w:name w:val="Заглавие"/>
    <w:basedOn w:val="5"/>
    <w:uiPriority w:val="0"/>
  </w:style>
  <w:style w:type="character" w:customStyle="1" w:styleId="34">
    <w:name w:val="textdoc"/>
    <w:basedOn w:val="7"/>
    <w:uiPriority w:val="0"/>
  </w:style>
  <w:style w:type="character" w:customStyle="1" w:styleId="35">
    <w:name w:val="Текст примечания Знак"/>
    <w:basedOn w:val="7"/>
    <w:link w:val="17"/>
    <w:semiHidden/>
    <w:uiPriority w:val="0"/>
  </w:style>
  <w:style w:type="character" w:customStyle="1" w:styleId="36">
    <w:name w:val="Тема примечания Знак"/>
    <w:basedOn w:val="35"/>
    <w:link w:val="18"/>
    <w:semiHidden/>
    <w:uiPriority w:val="0"/>
    <w:rPr>
      <w:b/>
      <w:bCs/>
    </w:rPr>
  </w:style>
  <w:style w:type="character" w:customStyle="1" w:styleId="37">
    <w:name w:val="Основной текст 2 Знак"/>
    <w:basedOn w:val="7"/>
    <w:link w:val="14"/>
    <w:semiHidden/>
    <w:uiPriority w:val="0"/>
    <w:rPr>
      <w:sz w:val="24"/>
      <w:szCs w:val="24"/>
    </w:rPr>
  </w:style>
  <w:style w:type="character" w:customStyle="1" w:styleId="38">
    <w:name w:val="Основной текст с отступом 3 Знак"/>
    <w:basedOn w:val="7"/>
    <w:link w:val="15"/>
    <w:uiPriority w:val="0"/>
    <w:rPr>
      <w:sz w:val="16"/>
      <w:szCs w:val="16"/>
    </w:rPr>
  </w:style>
  <w:style w:type="character" w:customStyle="1" w:styleId="39">
    <w:name w:val="Абзац списка Знак"/>
    <w:link w:val="30"/>
    <w:locked/>
    <w:uiPriority w:val="34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695C18D9B7C488347F93D4025BD88" ma:contentTypeVersion="0" ma:contentTypeDescription="Создание документа." ma:contentTypeScope="" ma:versionID="3e3c235a78df105d29f08f8918624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2BA52-CDAA-4532-BB53-C9CECA4F9DC5}">
  <ds:schemaRefs/>
</ds:datastoreItem>
</file>

<file path=customXml/itemProps2.xml><?xml version="1.0" encoding="utf-8"?>
<ds:datastoreItem xmlns:ds="http://schemas.openxmlformats.org/officeDocument/2006/customXml" ds:itemID="{91A5D654-6E9A-42F1-8724-01CA1355EA58}">
  <ds:schemaRefs/>
</ds:datastoreItem>
</file>

<file path=customXml/itemProps3.xml><?xml version="1.0" encoding="utf-8"?>
<ds:datastoreItem xmlns:ds="http://schemas.openxmlformats.org/officeDocument/2006/customXml" ds:itemID="{98D4DBAB-0EC7-4592-9BED-1FECE7077213}">
  <ds:schemaRefs/>
</ds:datastoreItem>
</file>

<file path=customXml/itemProps4.xml><?xml version="1.0" encoding="utf-8"?>
<ds:datastoreItem xmlns:ds="http://schemas.openxmlformats.org/officeDocument/2006/customXml" ds:itemID="{87DD2D47-2EC6-47C1-B2EC-54CA12D629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Eurocem</Company>
  <Pages>4</Pages>
  <Words>1531</Words>
  <Characters>8729</Characters>
  <Lines>72</Lines>
  <Paragraphs>20</Paragraphs>
  <TotalTime>102</TotalTime>
  <ScaleCrop>false</ScaleCrop>
  <LinksUpToDate>false</LinksUpToDate>
  <CharactersWithSpaces>10240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2023-05-04T08:28:00Z</dcterms:created>
  <dc:creator>Щербинина Людмила Николаевна</dc:creator>
  <cp:lastModifiedBy>LIPNUS1</cp:lastModifiedBy>
  <cp:lastPrinted>2021-08-27T13:12:00Z</cp:lastPrinted>
  <dcterms:modified xsi:type="dcterms:W3CDTF">2024-04-15T11:16:05Z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Eurocem</vt:lpwstr>
  </property>
  <property fmtid="{D5CDD505-2E9C-101B-9397-08002B2CF9AE}" pid="4" name="ContentTypeId">
    <vt:lpwstr>0x010100819695C18D9B7C488347F93D4025BD88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KSOProductBuildVer">
    <vt:lpwstr>1049-12.2.0.13416</vt:lpwstr>
  </property>
  <property fmtid="{D5CDD505-2E9C-101B-9397-08002B2CF9AE}" pid="11" name="ICV">
    <vt:lpwstr>B45AB581221C4A28812652A687EA1895_13</vt:lpwstr>
  </property>
</Properties>
</file>