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FC" w:rsidRPr="009A6E99" w:rsidRDefault="00E450FC" w:rsidP="009A6E99">
      <w:pPr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9A6E99">
        <w:rPr>
          <w:rFonts w:asciiTheme="majorHAnsi" w:hAnsiTheme="majorHAnsi" w:cs="Times New Roman"/>
          <w:b/>
          <w:bCs/>
          <w:sz w:val="22"/>
          <w:szCs w:val="22"/>
        </w:rPr>
        <w:t>ТЕХНИЧЕСКОЕ ЗАДАНИЕ</w:t>
      </w:r>
    </w:p>
    <w:p w:rsidR="00E450FC" w:rsidRPr="001F06BA" w:rsidRDefault="00E450FC" w:rsidP="009A6E99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1F06BA">
        <w:rPr>
          <w:rFonts w:asciiTheme="majorHAnsi" w:hAnsiTheme="majorHAnsi" w:cs="Times New Roman"/>
          <w:b/>
          <w:sz w:val="22"/>
          <w:szCs w:val="22"/>
        </w:rPr>
        <w:t>(требования к продукции)</w:t>
      </w:r>
    </w:p>
    <w:p w:rsidR="006B20B2" w:rsidRPr="001F06BA" w:rsidRDefault="006B20B2" w:rsidP="00E57575">
      <w:pPr>
        <w:spacing w:line="288" w:lineRule="auto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9A6E99">
        <w:rPr>
          <w:rFonts w:asciiTheme="majorHAnsi" w:hAnsiTheme="majorHAnsi" w:cs="Times New Roman"/>
          <w:b/>
          <w:sz w:val="22"/>
          <w:szCs w:val="22"/>
        </w:rPr>
        <w:t xml:space="preserve">на </w:t>
      </w:r>
      <w:r w:rsidR="008803B7">
        <w:rPr>
          <w:rFonts w:asciiTheme="majorHAnsi" w:hAnsiTheme="majorHAnsi" w:cs="Times New Roman"/>
          <w:b/>
          <w:sz w:val="22"/>
          <w:szCs w:val="22"/>
        </w:rPr>
        <w:t xml:space="preserve">поставку мебели </w:t>
      </w:r>
      <w:r w:rsidR="00E57575">
        <w:rPr>
          <w:rFonts w:asciiTheme="majorHAnsi" w:hAnsiTheme="majorHAnsi" w:cs="Times New Roman"/>
          <w:b/>
          <w:sz w:val="22"/>
          <w:szCs w:val="22"/>
        </w:rPr>
        <w:t xml:space="preserve">для сотрудников </w:t>
      </w:r>
      <w:r w:rsidR="00F01CE8">
        <w:rPr>
          <w:rFonts w:asciiTheme="majorHAnsi" w:hAnsiTheme="majorHAnsi" w:cs="Times New Roman"/>
          <w:b/>
          <w:sz w:val="22"/>
          <w:szCs w:val="22"/>
        </w:rPr>
        <w:t>Новосибирского филиала</w:t>
      </w:r>
      <w:r w:rsidR="00383375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9635DF">
        <w:rPr>
          <w:rFonts w:asciiTheme="majorHAnsi" w:hAnsiTheme="majorHAnsi" w:cs="Times New Roman"/>
          <w:b/>
          <w:sz w:val="22"/>
          <w:szCs w:val="22"/>
        </w:rPr>
        <w:t>и</w:t>
      </w:r>
      <w:r w:rsidR="005F2E03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9635DF">
        <w:rPr>
          <w:rFonts w:asciiTheme="majorHAnsi" w:hAnsiTheme="majorHAnsi" w:cs="Times New Roman"/>
          <w:b/>
          <w:sz w:val="22"/>
          <w:szCs w:val="22"/>
        </w:rPr>
        <w:t>ТОРМ Новокузнецк</w:t>
      </w:r>
      <w:r w:rsidR="00383375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383375" w:rsidRPr="001F06BA">
        <w:rPr>
          <w:rFonts w:asciiTheme="majorHAnsi" w:hAnsiTheme="majorHAnsi" w:cs="Times New Roman"/>
          <w:b/>
          <w:sz w:val="22"/>
          <w:szCs w:val="22"/>
        </w:rPr>
        <w:t>АО</w:t>
      </w:r>
      <w:r w:rsidR="00383375">
        <w:rPr>
          <w:rFonts w:asciiTheme="majorHAnsi" w:hAnsiTheme="majorHAnsi" w:cs="Times New Roman"/>
          <w:b/>
          <w:sz w:val="22"/>
          <w:szCs w:val="22"/>
        </w:rPr>
        <w:t xml:space="preserve"> «ПГК»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2"/>
        <w:gridCol w:w="2734"/>
        <w:gridCol w:w="6089"/>
      </w:tblGrid>
      <w:tr w:rsidR="009A6E99" w:rsidRPr="009A6E99" w:rsidTr="00A41A45">
        <w:tc>
          <w:tcPr>
            <w:tcW w:w="279" w:type="pct"/>
            <w:vAlign w:val="center"/>
          </w:tcPr>
          <w:p w:rsidR="009A6E99" w:rsidRPr="009A6E99" w:rsidRDefault="009A6E99" w:rsidP="009A6E99">
            <w:pPr>
              <w:suppressAutoHyphens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A6E99">
              <w:rPr>
                <w:rFonts w:asciiTheme="majorHAnsi" w:hAnsiTheme="majorHAnsi" w:cstheme="majorHAnsi"/>
                <w:b/>
                <w:sz w:val="22"/>
                <w:szCs w:val="22"/>
              </w:rPr>
              <w:t>№ п/п</w:t>
            </w:r>
          </w:p>
        </w:tc>
        <w:tc>
          <w:tcPr>
            <w:tcW w:w="1463" w:type="pct"/>
            <w:vAlign w:val="center"/>
          </w:tcPr>
          <w:p w:rsidR="009A6E99" w:rsidRPr="009A6E99" w:rsidRDefault="009A6E99" w:rsidP="009A6E99">
            <w:pPr>
              <w:suppressAutoHyphens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A6E99">
              <w:rPr>
                <w:rFonts w:asciiTheme="majorHAnsi" w:hAnsiTheme="majorHAnsi" w:cstheme="majorHAnsi"/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3258" w:type="pct"/>
            <w:vAlign w:val="center"/>
          </w:tcPr>
          <w:p w:rsidR="009A6E99" w:rsidRPr="009A6E99" w:rsidRDefault="009A6E99" w:rsidP="009A6E99">
            <w:pPr>
              <w:suppressAutoHyphens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A6E99">
              <w:rPr>
                <w:rFonts w:asciiTheme="majorHAnsi" w:hAnsiTheme="majorHAnsi" w:cstheme="majorHAnsi"/>
                <w:b/>
                <w:sz w:val="22"/>
                <w:szCs w:val="22"/>
              </w:rPr>
              <w:t>Характеристика</w:t>
            </w:r>
          </w:p>
        </w:tc>
      </w:tr>
      <w:tr w:rsidR="009B2102" w:rsidRPr="009A6E99" w:rsidTr="00A41A45">
        <w:tc>
          <w:tcPr>
            <w:tcW w:w="279" w:type="pct"/>
          </w:tcPr>
          <w:p w:rsidR="009B2102" w:rsidRPr="009A6E99" w:rsidRDefault="009B2102" w:rsidP="009B2102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463" w:type="pct"/>
          </w:tcPr>
          <w:p w:rsidR="009B2102" w:rsidRPr="00E07615" w:rsidRDefault="009B2102" w:rsidP="009B2102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7260AA">
              <w:rPr>
                <w:rFonts w:asciiTheme="majorHAnsi" w:hAnsiTheme="majorHAnsi" w:cstheme="majorHAnsi"/>
                <w:i/>
                <w:sz w:val="22"/>
                <w:szCs w:val="22"/>
              </w:rPr>
              <w:t>Наименование, основные характерис</w:t>
            </w:r>
            <w:r w:rsidR="008D3E33">
              <w:rPr>
                <w:rFonts w:asciiTheme="majorHAnsi" w:hAnsiTheme="majorHAnsi" w:cstheme="majorHAnsi"/>
                <w:i/>
                <w:sz w:val="22"/>
                <w:szCs w:val="22"/>
              </w:rPr>
              <w:t>тики и объемы оказываемых услуг</w:t>
            </w:r>
          </w:p>
        </w:tc>
        <w:tc>
          <w:tcPr>
            <w:tcW w:w="3258" w:type="pct"/>
          </w:tcPr>
          <w:p w:rsidR="009B2102" w:rsidRPr="00B00BCE" w:rsidRDefault="007260AA" w:rsidP="008803B7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36AEB">
              <w:rPr>
                <w:rFonts w:asciiTheme="majorHAnsi" w:hAnsiTheme="majorHAnsi" w:cstheme="majorHAnsi"/>
                <w:b/>
                <w:sz w:val="22"/>
                <w:szCs w:val="22"/>
              </w:rPr>
              <w:t>Согласно Приложению 1 к настоящему Техническому заданию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-Спецификация</w:t>
            </w:r>
          </w:p>
        </w:tc>
      </w:tr>
      <w:tr w:rsidR="007260AA" w:rsidRPr="009A6E99" w:rsidTr="00A41A45">
        <w:tc>
          <w:tcPr>
            <w:tcW w:w="279" w:type="pct"/>
          </w:tcPr>
          <w:p w:rsidR="007260AA" w:rsidRPr="009A6E99" w:rsidRDefault="007260AA" w:rsidP="009B2102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463" w:type="pct"/>
          </w:tcPr>
          <w:p w:rsidR="007260AA" w:rsidRPr="00E07615" w:rsidRDefault="007260AA" w:rsidP="009B2102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C4249E">
              <w:rPr>
                <w:rFonts w:asciiTheme="majorHAnsi" w:hAnsiTheme="majorHAnsi" w:cstheme="majorHAnsi"/>
                <w:i/>
                <w:sz w:val="22"/>
                <w:szCs w:val="22"/>
              </w:rPr>
              <w:t>Возможность поставки эквивалентной продукции</w:t>
            </w:r>
          </w:p>
        </w:tc>
        <w:tc>
          <w:tcPr>
            <w:tcW w:w="3258" w:type="pct"/>
          </w:tcPr>
          <w:p w:rsidR="007260AA" w:rsidRDefault="007260AA" w:rsidP="007260A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36AE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Указано согласно Приложению 1 к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настоящему Техническому заданию</w:t>
            </w:r>
            <w:r w:rsidR="00F01CE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-</w:t>
            </w:r>
            <w:r w:rsidR="00F01CE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Спецификация</w:t>
            </w:r>
          </w:p>
          <w:p w:rsidR="007260AA" w:rsidRPr="00D36AEB" w:rsidRDefault="007260AA" w:rsidP="007260A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36AEB">
              <w:rPr>
                <w:rFonts w:asciiTheme="majorHAnsi" w:hAnsiTheme="majorHAnsi" w:cstheme="majorHAnsi"/>
                <w:sz w:val="22"/>
                <w:szCs w:val="22"/>
              </w:rPr>
              <w:t>Эквивалентная продукция должна соответствовать визуализациям по внешнему виду, функциональным, техническим характеристикам и условиям применения.</w:t>
            </w:r>
          </w:p>
          <w:p w:rsidR="007260AA" w:rsidRPr="00D36AEB" w:rsidRDefault="007260AA" w:rsidP="008D3E3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36AEB">
              <w:rPr>
                <w:rFonts w:asciiTheme="majorHAnsi" w:hAnsiTheme="majorHAnsi" w:cstheme="majorHAnsi"/>
                <w:sz w:val="22"/>
                <w:szCs w:val="22"/>
              </w:rPr>
              <w:t>Участник должен предоставить развернутое техническое описание и фото/схемы/визуализации.</w:t>
            </w:r>
          </w:p>
        </w:tc>
      </w:tr>
      <w:tr w:rsidR="009A6E99" w:rsidRPr="009A6E99" w:rsidTr="00A41A45">
        <w:tc>
          <w:tcPr>
            <w:tcW w:w="279" w:type="pct"/>
          </w:tcPr>
          <w:p w:rsidR="009A6E99" w:rsidRPr="009A6E99" w:rsidRDefault="009A6E99" w:rsidP="009A6E99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463" w:type="pct"/>
          </w:tcPr>
          <w:p w:rsidR="009A6E99" w:rsidRPr="007260AA" w:rsidRDefault="009A6E99" w:rsidP="007260A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260AA">
              <w:rPr>
                <w:rFonts w:asciiTheme="majorHAnsi" w:hAnsiTheme="majorHAnsi" w:cstheme="majorHAnsi"/>
                <w:i/>
                <w:sz w:val="22"/>
                <w:szCs w:val="22"/>
              </w:rPr>
              <w:t>Заказчик (филиал)</w:t>
            </w:r>
          </w:p>
        </w:tc>
        <w:tc>
          <w:tcPr>
            <w:tcW w:w="3258" w:type="pct"/>
          </w:tcPr>
          <w:p w:rsidR="009A6E99" w:rsidRPr="00B00BCE" w:rsidRDefault="008803B7" w:rsidP="009A6E99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Новосибирский</w:t>
            </w:r>
            <w:r w:rsidR="001F06BA" w:rsidRPr="00B00BCE">
              <w:rPr>
                <w:rFonts w:asciiTheme="majorHAnsi" w:hAnsiTheme="majorHAnsi" w:cs="Times New Roman"/>
                <w:sz w:val="22"/>
                <w:szCs w:val="22"/>
              </w:rPr>
              <w:t xml:space="preserve"> филиал АО «ПГК»</w:t>
            </w:r>
          </w:p>
        </w:tc>
      </w:tr>
      <w:tr w:rsidR="009A6E99" w:rsidRPr="009A6E99" w:rsidTr="00A41A45">
        <w:tc>
          <w:tcPr>
            <w:tcW w:w="279" w:type="pct"/>
          </w:tcPr>
          <w:p w:rsidR="009A6E99" w:rsidRPr="009A6E99" w:rsidRDefault="009A6E99" w:rsidP="009A6E99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463" w:type="pct"/>
          </w:tcPr>
          <w:p w:rsidR="009A6E99" w:rsidRPr="007260AA" w:rsidRDefault="009A6E99" w:rsidP="007260A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260AA">
              <w:rPr>
                <w:rFonts w:asciiTheme="majorHAnsi" w:hAnsiTheme="majorHAnsi" w:cstheme="majorHAnsi"/>
                <w:i/>
                <w:sz w:val="22"/>
                <w:szCs w:val="22"/>
              </w:rPr>
              <w:t>Место и условия оказания услуг</w:t>
            </w:r>
          </w:p>
        </w:tc>
        <w:tc>
          <w:tcPr>
            <w:tcW w:w="3258" w:type="pct"/>
          </w:tcPr>
          <w:p w:rsidR="007260AA" w:rsidRPr="00D36AEB" w:rsidRDefault="007260AA" w:rsidP="007260A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36AEB">
              <w:rPr>
                <w:rFonts w:asciiTheme="majorHAnsi" w:hAnsiTheme="majorHAnsi" w:cstheme="majorHAnsi"/>
                <w:sz w:val="22"/>
                <w:szCs w:val="22"/>
              </w:rPr>
              <w:t>Адрес</w:t>
            </w:r>
            <w:r w:rsidR="00F01CE8">
              <w:rPr>
                <w:rFonts w:asciiTheme="majorHAnsi" w:hAnsiTheme="majorHAnsi" w:cstheme="majorHAnsi"/>
                <w:sz w:val="22"/>
                <w:szCs w:val="22"/>
              </w:rPr>
              <w:t>а</w:t>
            </w:r>
            <w:r w:rsidRPr="00D36AEB">
              <w:rPr>
                <w:rFonts w:asciiTheme="majorHAnsi" w:hAnsiTheme="majorHAnsi" w:cstheme="majorHAnsi"/>
                <w:sz w:val="22"/>
                <w:szCs w:val="22"/>
              </w:rPr>
              <w:t xml:space="preserve">, по которому будет поставляться товар: </w:t>
            </w:r>
          </w:p>
          <w:p w:rsidR="00013A61" w:rsidRDefault="008803B7" w:rsidP="00F01CE8">
            <w:pPr>
              <w:pStyle w:val="a8"/>
              <w:numPr>
                <w:ilvl w:val="0"/>
                <w:numId w:val="14"/>
              </w:numPr>
              <w:spacing w:after="0" w:line="288" w:lineRule="auto"/>
              <w:ind w:left="739"/>
              <w:rPr>
                <w:rFonts w:asciiTheme="majorHAnsi" w:hAnsiTheme="majorHAnsi" w:cstheme="majorHAnsi"/>
              </w:rPr>
            </w:pPr>
            <w:r w:rsidRPr="00AE57FA">
              <w:rPr>
                <w:rFonts w:asciiTheme="majorHAnsi" w:hAnsiTheme="majorHAnsi" w:cstheme="majorHAnsi"/>
              </w:rPr>
              <w:t>г. Новосибирск, ул. Дмитрия   Шамшурина, д. 33</w:t>
            </w:r>
          </w:p>
          <w:p w:rsidR="007260AA" w:rsidRPr="00013A61" w:rsidRDefault="007260AA" w:rsidP="00F01CE8">
            <w:pPr>
              <w:spacing w:line="288" w:lineRule="auto"/>
              <w:ind w:left="739"/>
              <w:rPr>
                <w:rFonts w:asciiTheme="majorHAnsi" w:hAnsiTheme="majorHAnsi" w:cstheme="majorHAnsi"/>
              </w:rPr>
            </w:pPr>
            <w:r w:rsidRPr="00013A61">
              <w:rPr>
                <w:rFonts w:asciiTheme="majorHAnsi" w:hAnsiTheme="majorHAnsi" w:cstheme="majorHAnsi"/>
              </w:rPr>
              <w:t>Имеется пассажирский лифт</w:t>
            </w:r>
          </w:p>
          <w:p w:rsidR="007260AA" w:rsidRPr="007260AA" w:rsidRDefault="007260AA" w:rsidP="00F01CE8">
            <w:pPr>
              <w:ind w:left="73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36AEB">
              <w:rPr>
                <w:rFonts w:asciiTheme="majorHAnsi" w:hAnsiTheme="majorHAnsi" w:cstheme="majorHAnsi"/>
                <w:sz w:val="22"/>
                <w:szCs w:val="22"/>
              </w:rPr>
              <w:t>Способ доставки: силами Поставщика.</w:t>
            </w:r>
          </w:p>
          <w:p w:rsidR="009A6E99" w:rsidRDefault="00111FA6" w:rsidP="00F01CE8">
            <w:pPr>
              <w:ind w:left="739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="00826531" w:rsidRPr="00826531">
              <w:rPr>
                <w:rFonts w:asciiTheme="majorHAnsi" w:hAnsiTheme="majorHAnsi" w:cs="Times New Roman"/>
                <w:sz w:val="22"/>
                <w:szCs w:val="22"/>
              </w:rPr>
              <w:t>Доставка, разгрузка, подъем на</w:t>
            </w:r>
            <w:r w:rsidR="00F01CE8">
              <w:rPr>
                <w:rFonts w:asciiTheme="majorHAnsi" w:hAnsiTheme="majorHAnsi" w:cs="Times New Roman"/>
                <w:sz w:val="22"/>
                <w:szCs w:val="22"/>
              </w:rPr>
              <w:t xml:space="preserve"> 7 и</w:t>
            </w:r>
            <w:r w:rsidR="00826531" w:rsidRPr="00826531">
              <w:rPr>
                <w:rFonts w:asciiTheme="majorHAnsi" w:hAnsiTheme="majorHAnsi" w:cs="Times New Roman"/>
                <w:sz w:val="22"/>
                <w:szCs w:val="22"/>
              </w:rPr>
              <w:t xml:space="preserve"> 8 этаж, сборка, вывоз упаковки по г. </w:t>
            </w:r>
            <w:r w:rsidR="007260AA">
              <w:rPr>
                <w:rFonts w:asciiTheme="majorHAnsi" w:hAnsiTheme="majorHAnsi" w:cs="Times New Roman"/>
                <w:sz w:val="22"/>
                <w:szCs w:val="22"/>
              </w:rPr>
              <w:t>Новосибирску</w:t>
            </w:r>
            <w:r w:rsidR="00826531" w:rsidRPr="00826531">
              <w:rPr>
                <w:rFonts w:asciiTheme="majorHAnsi" w:hAnsiTheme="majorHAnsi" w:cs="Times New Roman"/>
                <w:sz w:val="22"/>
                <w:szCs w:val="22"/>
              </w:rPr>
              <w:t xml:space="preserve"> - силами и за счет Поставщика</w:t>
            </w:r>
          </w:p>
          <w:p w:rsidR="00AE57FA" w:rsidRDefault="00F01CE8" w:rsidP="00AE57FA">
            <w:pPr>
              <w:pStyle w:val="a8"/>
              <w:numPr>
                <w:ilvl w:val="0"/>
                <w:numId w:val="14"/>
              </w:num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г. Новокузнецк, ул. Карбышева</w:t>
            </w:r>
            <w:r w:rsidR="00AE57FA">
              <w:rPr>
                <w:rFonts w:asciiTheme="majorHAnsi" w:hAnsiTheme="majorHAnsi" w:cs="Times New Roman"/>
              </w:rPr>
              <w:t xml:space="preserve">, </w:t>
            </w:r>
            <w:r>
              <w:rPr>
                <w:rFonts w:asciiTheme="majorHAnsi" w:hAnsiTheme="majorHAnsi" w:cs="Times New Roman"/>
              </w:rPr>
              <w:t>8, 2</w:t>
            </w:r>
            <w:r w:rsidR="00AE57FA">
              <w:rPr>
                <w:rFonts w:asciiTheme="majorHAnsi" w:hAnsiTheme="majorHAnsi" w:cs="Times New Roman"/>
              </w:rPr>
              <w:t xml:space="preserve"> этаж </w:t>
            </w:r>
            <w:r w:rsidR="00AE57FA" w:rsidRPr="00F01CE8">
              <w:rPr>
                <w:rFonts w:asciiTheme="majorHAnsi" w:hAnsiTheme="majorHAnsi" w:cs="Times New Roman"/>
                <w:b/>
                <w:u w:val="single"/>
              </w:rPr>
              <w:t>(без лифта)</w:t>
            </w:r>
          </w:p>
          <w:p w:rsidR="00AE57FA" w:rsidRPr="00AE57FA" w:rsidRDefault="00AE57FA" w:rsidP="00AE57FA">
            <w:pPr>
              <w:pStyle w:val="a8"/>
              <w:jc w:val="both"/>
              <w:rPr>
                <w:rFonts w:asciiTheme="majorHAnsi" w:hAnsiTheme="majorHAnsi" w:cs="Times New Roman"/>
              </w:rPr>
            </w:pPr>
            <w:r w:rsidRPr="00AE57FA">
              <w:rPr>
                <w:rFonts w:asciiTheme="majorHAnsi" w:hAnsiTheme="majorHAnsi" w:cs="Times New Roman"/>
              </w:rPr>
              <w:t>Способ доставки: силами Поставщика.</w:t>
            </w:r>
          </w:p>
          <w:p w:rsidR="00AE57FA" w:rsidRPr="00AE57FA" w:rsidRDefault="00AE57FA" w:rsidP="00013A61">
            <w:pPr>
              <w:pStyle w:val="a8"/>
              <w:jc w:val="both"/>
              <w:rPr>
                <w:rFonts w:asciiTheme="majorHAnsi" w:hAnsiTheme="majorHAnsi" w:cs="Times New Roman"/>
              </w:rPr>
            </w:pPr>
            <w:r w:rsidRPr="00AE57FA">
              <w:rPr>
                <w:rFonts w:asciiTheme="majorHAnsi" w:hAnsiTheme="majorHAnsi" w:cs="Times New Roman"/>
              </w:rPr>
              <w:t xml:space="preserve"> Доставка, разгрузка, подъем на </w:t>
            </w:r>
            <w:r w:rsidR="00013A61">
              <w:rPr>
                <w:rFonts w:asciiTheme="majorHAnsi" w:hAnsiTheme="majorHAnsi" w:cs="Times New Roman"/>
              </w:rPr>
              <w:t>2</w:t>
            </w:r>
            <w:r w:rsidRPr="00AE57FA">
              <w:rPr>
                <w:rFonts w:asciiTheme="majorHAnsi" w:hAnsiTheme="majorHAnsi" w:cs="Times New Roman"/>
              </w:rPr>
              <w:t xml:space="preserve"> этаж, сборка, вывоз упаковки по г. Ново</w:t>
            </w:r>
            <w:r>
              <w:rPr>
                <w:rFonts w:asciiTheme="majorHAnsi" w:hAnsiTheme="majorHAnsi" w:cs="Times New Roman"/>
              </w:rPr>
              <w:t>кузнецку</w:t>
            </w:r>
            <w:r w:rsidRPr="00AE57FA">
              <w:rPr>
                <w:rFonts w:asciiTheme="majorHAnsi" w:hAnsiTheme="majorHAnsi" w:cs="Times New Roman"/>
              </w:rPr>
              <w:t xml:space="preserve"> - силами и за счет Поставщика</w:t>
            </w:r>
          </w:p>
        </w:tc>
      </w:tr>
      <w:tr w:rsidR="009A6E99" w:rsidRPr="009A6E99" w:rsidTr="00A41A45">
        <w:tc>
          <w:tcPr>
            <w:tcW w:w="279" w:type="pct"/>
          </w:tcPr>
          <w:p w:rsidR="009A6E99" w:rsidRPr="009A6E99" w:rsidRDefault="009A6E99" w:rsidP="009A6E99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463" w:type="pct"/>
          </w:tcPr>
          <w:p w:rsidR="009A6E99" w:rsidRPr="007260AA" w:rsidRDefault="009A6E99" w:rsidP="00617A5D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260AA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Срок </w:t>
            </w:r>
            <w:r w:rsidR="0016063F">
              <w:rPr>
                <w:rFonts w:asciiTheme="majorHAnsi" w:hAnsiTheme="majorHAnsi" w:cstheme="majorHAnsi"/>
                <w:i/>
                <w:sz w:val="22"/>
                <w:szCs w:val="22"/>
              </w:rPr>
              <w:t>поставки</w:t>
            </w:r>
          </w:p>
        </w:tc>
        <w:tc>
          <w:tcPr>
            <w:tcW w:w="3258" w:type="pct"/>
          </w:tcPr>
          <w:p w:rsidR="00B00BCE" w:rsidRPr="00B00BCE" w:rsidRDefault="00F01CE8" w:rsidP="00826531">
            <w:pPr>
              <w:tabs>
                <w:tab w:val="left" w:pos="-993"/>
              </w:tabs>
              <w:spacing w:line="288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</w:t>
            </w:r>
            <w:r w:rsidR="0016063F">
              <w:rPr>
                <w:rFonts w:asciiTheme="majorHAnsi" w:hAnsiTheme="majorHAnsi" w:cs="Times New Roman"/>
                <w:sz w:val="22"/>
                <w:szCs w:val="22"/>
              </w:rPr>
              <w:t xml:space="preserve">редпочтительно </w:t>
            </w:r>
            <w:r w:rsidR="007260AA" w:rsidRPr="007260AA">
              <w:rPr>
                <w:rFonts w:asciiTheme="majorHAnsi" w:hAnsiTheme="majorHAnsi" w:cs="Times New Roman"/>
                <w:sz w:val="22"/>
                <w:szCs w:val="22"/>
              </w:rPr>
              <w:t xml:space="preserve">30 </w:t>
            </w:r>
            <w:r w:rsidR="0016063F">
              <w:rPr>
                <w:rFonts w:asciiTheme="majorHAnsi" w:hAnsiTheme="majorHAnsi" w:cs="Times New Roman"/>
                <w:sz w:val="22"/>
                <w:szCs w:val="22"/>
              </w:rPr>
              <w:t xml:space="preserve">календарных </w:t>
            </w:r>
            <w:r w:rsidR="007260AA" w:rsidRPr="007260AA">
              <w:rPr>
                <w:rFonts w:asciiTheme="majorHAnsi" w:hAnsiTheme="majorHAnsi" w:cs="Times New Roman"/>
                <w:sz w:val="22"/>
                <w:szCs w:val="22"/>
              </w:rPr>
              <w:t>дней с даты заключения договора</w:t>
            </w:r>
          </w:p>
        </w:tc>
      </w:tr>
      <w:tr w:rsidR="00F01CE8" w:rsidRPr="009A6E99" w:rsidTr="00A41A45">
        <w:tc>
          <w:tcPr>
            <w:tcW w:w="279" w:type="pct"/>
          </w:tcPr>
          <w:p w:rsidR="00F01CE8" w:rsidRPr="009A6E99" w:rsidRDefault="00F01CE8" w:rsidP="009A6E99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463" w:type="pct"/>
          </w:tcPr>
          <w:p w:rsidR="00F01CE8" w:rsidRPr="007260AA" w:rsidRDefault="00F01CE8" w:rsidP="0016063F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Сроки проведения сборки</w:t>
            </w:r>
          </w:p>
        </w:tc>
        <w:tc>
          <w:tcPr>
            <w:tcW w:w="3258" w:type="pct"/>
          </w:tcPr>
          <w:p w:rsidR="00F01CE8" w:rsidRDefault="00F01CE8" w:rsidP="007260AA">
            <w:pPr>
              <w:tabs>
                <w:tab w:val="left" w:pos="-993"/>
              </w:tabs>
              <w:spacing w:line="288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Предпочтительно не более 7 рабочих дней с даты поставки</w:t>
            </w:r>
          </w:p>
        </w:tc>
      </w:tr>
      <w:tr w:rsidR="009B2102" w:rsidRPr="009A6E99" w:rsidTr="009B2102">
        <w:tc>
          <w:tcPr>
            <w:tcW w:w="5000" w:type="pct"/>
            <w:gridSpan w:val="3"/>
            <w:shd w:val="clear" w:color="auto" w:fill="D9D9D9" w:themeFill="background1" w:themeFillShade="D9"/>
          </w:tcPr>
          <w:p w:rsidR="009B2102" w:rsidRPr="00A41A45" w:rsidRDefault="009B2102" w:rsidP="009B2102">
            <w:pPr>
              <w:tabs>
                <w:tab w:val="left" w:pos="0"/>
              </w:tabs>
              <w:jc w:val="center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Дополнительные требования</w:t>
            </w:r>
          </w:p>
        </w:tc>
      </w:tr>
      <w:tr w:rsidR="009A6E99" w:rsidRPr="009A6E99" w:rsidTr="00A41A45">
        <w:tc>
          <w:tcPr>
            <w:tcW w:w="279" w:type="pct"/>
          </w:tcPr>
          <w:p w:rsidR="009A6E99" w:rsidRPr="009A6E99" w:rsidRDefault="009A6E99" w:rsidP="009B2102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463" w:type="pct"/>
          </w:tcPr>
          <w:p w:rsidR="009A6E99" w:rsidRPr="007260AA" w:rsidRDefault="009A6E99" w:rsidP="0027604C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260AA">
              <w:rPr>
                <w:rFonts w:asciiTheme="majorHAnsi" w:hAnsiTheme="majorHAnsi" w:cstheme="majorHAnsi"/>
                <w:i/>
                <w:sz w:val="22"/>
                <w:szCs w:val="22"/>
              </w:rPr>
              <w:t>Х</w:t>
            </w:r>
            <w:r w:rsidR="009B2102" w:rsidRPr="007260AA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арактеристики </w:t>
            </w:r>
            <w:r w:rsidR="0027604C">
              <w:rPr>
                <w:rFonts w:asciiTheme="majorHAnsi" w:hAnsiTheme="majorHAnsi" w:cstheme="majorHAnsi"/>
                <w:i/>
                <w:sz w:val="22"/>
                <w:szCs w:val="22"/>
              </w:rPr>
              <w:t>товара</w:t>
            </w:r>
          </w:p>
        </w:tc>
        <w:tc>
          <w:tcPr>
            <w:tcW w:w="3258" w:type="pct"/>
          </w:tcPr>
          <w:p w:rsidR="009A6E99" w:rsidRDefault="004B798A" w:rsidP="00CF38C8">
            <w:pPr>
              <w:tabs>
                <w:tab w:val="left" w:pos="0"/>
                <w:tab w:val="left" w:pos="3641"/>
              </w:tabs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183EF5">
              <w:rPr>
                <w:rFonts w:asciiTheme="majorHAnsi" w:hAnsiTheme="majorHAnsi" w:cs="Times New Roman"/>
                <w:sz w:val="22"/>
                <w:szCs w:val="22"/>
              </w:rPr>
              <w:t xml:space="preserve">Указаны </w:t>
            </w:r>
            <w:r w:rsidR="00183EF5" w:rsidRPr="00183EF5">
              <w:rPr>
                <w:rFonts w:asciiTheme="majorHAnsi" w:hAnsiTheme="majorHAnsi" w:cs="Times New Roman"/>
                <w:sz w:val="22"/>
                <w:szCs w:val="22"/>
              </w:rPr>
              <w:t xml:space="preserve">в </w:t>
            </w:r>
            <w:r w:rsidR="00826531">
              <w:rPr>
                <w:rFonts w:asciiTheme="majorHAnsi" w:hAnsiTheme="majorHAnsi" w:cs="Times New Roman"/>
                <w:sz w:val="22"/>
                <w:szCs w:val="22"/>
              </w:rPr>
              <w:t>Спецификации</w:t>
            </w:r>
            <w:r w:rsidR="00183EF5" w:rsidRPr="00183EF5">
              <w:rPr>
                <w:rFonts w:asciiTheme="majorHAnsi" w:hAnsiTheme="majorHAnsi" w:cs="Times New Roman"/>
                <w:sz w:val="22"/>
                <w:szCs w:val="22"/>
              </w:rPr>
              <w:t xml:space="preserve"> №1</w:t>
            </w:r>
            <w:r w:rsidR="00245C44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="00183EF5" w:rsidRPr="00183EF5">
              <w:rPr>
                <w:rFonts w:asciiTheme="majorHAnsi" w:hAnsiTheme="majorHAnsi" w:cs="Times New Roman"/>
                <w:sz w:val="22"/>
                <w:szCs w:val="22"/>
              </w:rPr>
              <w:t>к ТЗ</w:t>
            </w:r>
            <w:r w:rsidR="00CF38C8">
              <w:rPr>
                <w:rFonts w:asciiTheme="majorHAnsi" w:hAnsiTheme="majorHAnsi" w:cs="Times New Roman"/>
                <w:sz w:val="22"/>
                <w:szCs w:val="22"/>
              </w:rPr>
              <w:tab/>
            </w:r>
          </w:p>
          <w:p w:rsidR="00CF38C8" w:rsidRPr="00A41A45" w:rsidRDefault="00CF38C8" w:rsidP="00CF38C8">
            <w:pPr>
              <w:tabs>
                <w:tab w:val="left" w:pos="0"/>
                <w:tab w:val="left" w:pos="3641"/>
              </w:tabs>
              <w:jc w:val="both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6C6CB2">
              <w:rPr>
                <w:rFonts w:asciiTheme="majorHAnsi" w:hAnsiTheme="majorHAnsi" w:cstheme="majorHAnsi"/>
                <w:sz w:val="22"/>
                <w:szCs w:val="22"/>
              </w:rPr>
              <w:t xml:space="preserve">Проведение </w:t>
            </w:r>
            <w:r w:rsidRPr="00D36AEB">
              <w:rPr>
                <w:rFonts w:asciiTheme="majorHAnsi" w:hAnsiTheme="majorHAnsi" w:cstheme="majorHAnsi"/>
                <w:sz w:val="22"/>
                <w:szCs w:val="22"/>
              </w:rPr>
              <w:t>замеров - не требуется</w:t>
            </w:r>
          </w:p>
        </w:tc>
      </w:tr>
      <w:tr w:rsidR="009A6E99" w:rsidRPr="009A6E99" w:rsidTr="00A41A45">
        <w:tc>
          <w:tcPr>
            <w:tcW w:w="279" w:type="pct"/>
          </w:tcPr>
          <w:p w:rsidR="009A6E99" w:rsidRPr="009A6E99" w:rsidRDefault="009A6E99" w:rsidP="009A6E99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463" w:type="pct"/>
          </w:tcPr>
          <w:p w:rsidR="009A6E99" w:rsidRPr="007260AA" w:rsidRDefault="009A6E99" w:rsidP="007260A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260AA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Требования к </w:t>
            </w:r>
            <w:r w:rsidR="0050366F" w:rsidRPr="007260AA">
              <w:rPr>
                <w:rFonts w:asciiTheme="majorHAnsi" w:hAnsiTheme="majorHAnsi" w:cstheme="majorHAnsi"/>
                <w:i/>
                <w:sz w:val="22"/>
                <w:szCs w:val="22"/>
              </w:rPr>
              <w:t>качеству товара</w:t>
            </w:r>
          </w:p>
        </w:tc>
        <w:tc>
          <w:tcPr>
            <w:tcW w:w="3258" w:type="pct"/>
          </w:tcPr>
          <w:p w:rsidR="00B47F9B" w:rsidRPr="00B47F9B" w:rsidRDefault="00B47F9B" w:rsidP="00B47F9B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B47F9B">
              <w:rPr>
                <w:rFonts w:asciiTheme="majorHAnsi" w:hAnsiTheme="majorHAnsi" w:cs="Times New Roman"/>
                <w:sz w:val="22"/>
                <w:szCs w:val="22"/>
              </w:rPr>
              <w:t>Поставляемый товар должен быть новым, то есть не бывшим в эксплуатации, не восстановленным, без дефектов материала и изготовления, не модифицированным, не переделанным, не поврежденным, без каких-либо ограничений (в т.ч. не являться предметом залога, под арестом не состоять, быть свободным от прав третьих лиц и т.п.) допущенным к свободному обращению на территории Российской Федерации;</w:t>
            </w:r>
          </w:p>
          <w:p w:rsidR="009A6E99" w:rsidRPr="008D3E33" w:rsidRDefault="00B47F9B" w:rsidP="00CF38C8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B47F9B">
              <w:rPr>
                <w:rFonts w:asciiTheme="majorHAnsi" w:hAnsiTheme="majorHAnsi" w:cs="Times New Roman"/>
                <w:sz w:val="22"/>
                <w:szCs w:val="22"/>
              </w:rPr>
              <w:t>Качество товара, функциональные характеристики (потребительские свойства) товара должны соответствовать действующим техническим регламентам, стандартам, нормативным требованиям по охране труда и иным требованиям, установленным действующим законодательством и нормативно-технической доку</w:t>
            </w:r>
            <w:r w:rsidR="002E2CBD">
              <w:rPr>
                <w:rFonts w:asciiTheme="majorHAnsi" w:hAnsiTheme="majorHAnsi" w:cs="Times New Roman"/>
                <w:sz w:val="22"/>
                <w:szCs w:val="22"/>
              </w:rPr>
              <w:t>ментацией Российской Федерации.</w:t>
            </w:r>
          </w:p>
        </w:tc>
      </w:tr>
      <w:tr w:rsidR="00B47F9B" w:rsidRPr="009A6E99" w:rsidTr="00A41A45">
        <w:tc>
          <w:tcPr>
            <w:tcW w:w="279" w:type="pct"/>
          </w:tcPr>
          <w:p w:rsidR="00B47F9B" w:rsidRPr="009A6E99" w:rsidRDefault="00B47F9B" w:rsidP="009A6E99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463" w:type="pct"/>
          </w:tcPr>
          <w:p w:rsidR="00B47F9B" w:rsidRPr="007260AA" w:rsidRDefault="00B47F9B" w:rsidP="007260A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260AA">
              <w:rPr>
                <w:rFonts w:asciiTheme="majorHAnsi" w:hAnsiTheme="majorHAnsi" w:cstheme="majorHAnsi"/>
                <w:i/>
                <w:sz w:val="22"/>
                <w:szCs w:val="22"/>
              </w:rPr>
              <w:t>Требования к отгрузке и доставке товара</w:t>
            </w:r>
          </w:p>
        </w:tc>
        <w:tc>
          <w:tcPr>
            <w:tcW w:w="3258" w:type="pct"/>
          </w:tcPr>
          <w:p w:rsidR="00CF38C8" w:rsidRPr="00CF38C8" w:rsidRDefault="00CF38C8" w:rsidP="00CF38C8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CF38C8">
              <w:rPr>
                <w:rFonts w:asciiTheme="majorHAnsi" w:hAnsiTheme="majorHAnsi" w:cs="Times New Roman"/>
                <w:sz w:val="22"/>
                <w:szCs w:val="22"/>
              </w:rPr>
              <w:t>Поставщик осуществляет следующие сопутствующие поставке</w:t>
            </w:r>
            <w:r w:rsidR="002E2CBD">
              <w:rPr>
                <w:rFonts w:asciiTheme="majorHAnsi" w:hAnsiTheme="majorHAnsi" w:cs="Times New Roman"/>
                <w:sz w:val="22"/>
                <w:szCs w:val="22"/>
              </w:rPr>
              <w:t xml:space="preserve"> услуги</w:t>
            </w:r>
            <w:r w:rsidRPr="00CF38C8">
              <w:rPr>
                <w:rFonts w:asciiTheme="majorHAnsi" w:hAnsiTheme="majorHAnsi" w:cs="Times New Roman"/>
                <w:sz w:val="22"/>
                <w:szCs w:val="22"/>
              </w:rPr>
              <w:t>:</w:t>
            </w:r>
          </w:p>
          <w:p w:rsidR="00CF38C8" w:rsidRPr="00CF38C8" w:rsidRDefault="00CF38C8" w:rsidP="00CF38C8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CF38C8"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>-</w:t>
            </w:r>
            <w:r w:rsidRPr="00CF38C8">
              <w:rPr>
                <w:rFonts w:asciiTheme="majorHAnsi" w:hAnsiTheme="majorHAnsi" w:cs="Times New Roman"/>
                <w:sz w:val="22"/>
                <w:szCs w:val="22"/>
              </w:rPr>
              <w:tab/>
              <w:t>транспортировка;</w:t>
            </w:r>
          </w:p>
          <w:p w:rsidR="00CF38C8" w:rsidRPr="00CF38C8" w:rsidRDefault="00CF38C8" w:rsidP="00CF38C8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CF38C8">
              <w:rPr>
                <w:rFonts w:asciiTheme="majorHAnsi" w:hAnsiTheme="majorHAnsi" w:cs="Times New Roman"/>
                <w:sz w:val="22"/>
                <w:szCs w:val="22"/>
              </w:rPr>
              <w:t>-</w:t>
            </w:r>
            <w:r w:rsidRPr="00CF38C8">
              <w:rPr>
                <w:rFonts w:asciiTheme="majorHAnsi" w:hAnsiTheme="majorHAnsi" w:cs="Times New Roman"/>
                <w:sz w:val="22"/>
                <w:szCs w:val="22"/>
              </w:rPr>
              <w:tab/>
              <w:t>погрузочные работы на складе Поставщика, доставка до места поставки, подъем</w:t>
            </w:r>
            <w:r w:rsidR="00AE57FA">
              <w:rPr>
                <w:rFonts w:asciiTheme="majorHAnsi" w:hAnsiTheme="majorHAnsi" w:cs="Times New Roman"/>
                <w:sz w:val="22"/>
                <w:szCs w:val="22"/>
              </w:rPr>
              <w:t xml:space="preserve"> на этаж</w:t>
            </w:r>
            <w:r w:rsidRPr="00CF38C8">
              <w:rPr>
                <w:rFonts w:asciiTheme="majorHAnsi" w:hAnsiTheme="majorHAnsi" w:cs="Times New Roman"/>
                <w:sz w:val="22"/>
                <w:szCs w:val="22"/>
              </w:rPr>
              <w:t>;</w:t>
            </w:r>
          </w:p>
          <w:p w:rsidR="00CF38C8" w:rsidRPr="00CF38C8" w:rsidRDefault="00CF38C8" w:rsidP="00CF38C8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CF38C8">
              <w:rPr>
                <w:rFonts w:asciiTheme="majorHAnsi" w:hAnsiTheme="majorHAnsi" w:cs="Times New Roman"/>
                <w:sz w:val="22"/>
                <w:szCs w:val="22"/>
              </w:rPr>
              <w:t>-</w:t>
            </w:r>
            <w:r w:rsidRPr="00CF38C8">
              <w:rPr>
                <w:rFonts w:asciiTheme="majorHAnsi" w:hAnsiTheme="majorHAnsi" w:cs="Times New Roman"/>
                <w:sz w:val="22"/>
                <w:szCs w:val="22"/>
              </w:rPr>
              <w:tab/>
              <w:t>разгрузочные работы по адресу доставки Покупателя, с учетом подъема продукции на этаж;</w:t>
            </w:r>
          </w:p>
          <w:p w:rsidR="00CF38C8" w:rsidRPr="00CF38C8" w:rsidRDefault="00CF38C8" w:rsidP="00CF38C8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CF38C8">
              <w:rPr>
                <w:rFonts w:asciiTheme="majorHAnsi" w:hAnsiTheme="majorHAnsi" w:cs="Times New Roman"/>
                <w:sz w:val="22"/>
                <w:szCs w:val="22"/>
              </w:rPr>
              <w:t>-</w:t>
            </w:r>
            <w:r w:rsidRPr="00CF38C8">
              <w:rPr>
                <w:rFonts w:asciiTheme="majorHAnsi" w:hAnsiTheme="majorHAnsi" w:cs="Times New Roman"/>
                <w:sz w:val="22"/>
                <w:szCs w:val="22"/>
              </w:rPr>
              <w:tab/>
              <w:t>сборка, установка, шеф-монтаж;</w:t>
            </w:r>
          </w:p>
          <w:p w:rsidR="00CF38C8" w:rsidRDefault="00CF38C8" w:rsidP="00CF38C8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CF38C8">
              <w:rPr>
                <w:rFonts w:asciiTheme="majorHAnsi" w:hAnsiTheme="majorHAnsi" w:cs="Times New Roman"/>
                <w:sz w:val="22"/>
                <w:szCs w:val="22"/>
              </w:rPr>
              <w:t>-</w:t>
            </w:r>
            <w:r w:rsidRPr="00CF38C8">
              <w:rPr>
                <w:rFonts w:asciiTheme="majorHAnsi" w:hAnsiTheme="majorHAnsi" w:cs="Times New Roman"/>
                <w:sz w:val="22"/>
                <w:szCs w:val="22"/>
              </w:rPr>
              <w:tab/>
              <w:t>вывоз мусора</w:t>
            </w:r>
          </w:p>
          <w:p w:rsidR="00B47F9B" w:rsidRDefault="00B47F9B" w:rsidP="00B47F9B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B47F9B">
              <w:rPr>
                <w:rFonts w:asciiTheme="majorHAnsi" w:hAnsiTheme="majorHAnsi" w:cs="Times New Roman"/>
                <w:sz w:val="22"/>
                <w:szCs w:val="22"/>
              </w:rPr>
              <w:t xml:space="preserve">Доставка, </w:t>
            </w:r>
            <w:r w:rsidR="00F01CE8" w:rsidRPr="00B47F9B">
              <w:rPr>
                <w:rFonts w:asciiTheme="majorHAnsi" w:hAnsiTheme="majorHAnsi" w:cs="Times New Roman"/>
                <w:sz w:val="22"/>
                <w:szCs w:val="22"/>
              </w:rPr>
              <w:t>подъем</w:t>
            </w:r>
            <w:r w:rsidRPr="00B47F9B">
              <w:rPr>
                <w:rFonts w:asciiTheme="majorHAnsi" w:hAnsiTheme="majorHAnsi" w:cs="Times New Roman"/>
                <w:sz w:val="22"/>
                <w:szCs w:val="22"/>
              </w:rPr>
              <w:t>, сборка на этаж и разгрузка осуществляются поставщиком за счет собственных средств</w:t>
            </w:r>
          </w:p>
          <w:p w:rsidR="00CF38C8" w:rsidRPr="00CF38C8" w:rsidRDefault="00CF38C8" w:rsidP="00CF38C8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sz w:val="22"/>
                <w:szCs w:val="22"/>
              </w:rPr>
              <w:t>Требования к отгрузке и доставке товара установлены в соответствии со статьями 509 и 510 ГК РФ.</w:t>
            </w:r>
          </w:p>
        </w:tc>
      </w:tr>
      <w:tr w:rsidR="00B47F9B" w:rsidRPr="009A6E99" w:rsidTr="00A41A45">
        <w:tc>
          <w:tcPr>
            <w:tcW w:w="279" w:type="pct"/>
          </w:tcPr>
          <w:p w:rsidR="00B47F9B" w:rsidRPr="009A6E99" w:rsidRDefault="00B47F9B" w:rsidP="009A6E99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463" w:type="pct"/>
          </w:tcPr>
          <w:p w:rsidR="00B47F9B" w:rsidRPr="007260AA" w:rsidRDefault="00B47F9B" w:rsidP="007260A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260AA">
              <w:rPr>
                <w:rFonts w:asciiTheme="majorHAnsi" w:hAnsiTheme="majorHAnsi" w:cstheme="majorHAnsi"/>
                <w:i/>
                <w:sz w:val="22"/>
                <w:szCs w:val="22"/>
              </w:rPr>
              <w:t>Место, условия и сроки поставки товара</w:t>
            </w:r>
          </w:p>
        </w:tc>
        <w:tc>
          <w:tcPr>
            <w:tcW w:w="3258" w:type="pct"/>
          </w:tcPr>
          <w:p w:rsidR="00B47F9B" w:rsidRPr="00B47F9B" w:rsidRDefault="00B47F9B" w:rsidP="00AE57FA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B47F9B">
              <w:rPr>
                <w:rFonts w:asciiTheme="majorHAnsi" w:hAnsiTheme="majorHAnsi" w:cs="Times New Roman"/>
                <w:sz w:val="22"/>
                <w:szCs w:val="22"/>
              </w:rPr>
              <w:t xml:space="preserve">Товар должен быть доставлен и установлен на </w:t>
            </w:r>
            <w:r w:rsidR="00AE57FA">
              <w:rPr>
                <w:rFonts w:asciiTheme="majorHAnsi" w:hAnsiTheme="majorHAnsi" w:cs="Times New Roman"/>
                <w:sz w:val="22"/>
                <w:szCs w:val="22"/>
              </w:rPr>
              <w:t>этажи офисов</w:t>
            </w:r>
            <w:r w:rsidRPr="00B47F9B">
              <w:rPr>
                <w:rFonts w:asciiTheme="majorHAnsi" w:hAnsiTheme="majorHAnsi" w:cs="Times New Roman"/>
                <w:sz w:val="22"/>
                <w:szCs w:val="22"/>
              </w:rPr>
              <w:t xml:space="preserve"> Новосибирского филиала АО «ПГК </w:t>
            </w:r>
            <w:r w:rsidR="00AE57FA">
              <w:rPr>
                <w:rFonts w:asciiTheme="majorHAnsi" w:hAnsiTheme="majorHAnsi" w:cs="Times New Roman"/>
                <w:sz w:val="22"/>
                <w:szCs w:val="22"/>
              </w:rPr>
              <w:t>в кабинетах на 7 этаже (</w:t>
            </w:r>
            <w:r w:rsidRPr="00B47F9B">
              <w:rPr>
                <w:rFonts w:asciiTheme="majorHAnsi" w:hAnsiTheme="majorHAnsi" w:cs="Times New Roman"/>
                <w:sz w:val="22"/>
                <w:szCs w:val="22"/>
              </w:rPr>
              <w:t>723</w:t>
            </w:r>
            <w:r w:rsidR="00AE57FA">
              <w:rPr>
                <w:rFonts w:asciiTheme="majorHAnsi" w:hAnsiTheme="majorHAnsi" w:cs="Times New Roman"/>
                <w:sz w:val="22"/>
                <w:szCs w:val="22"/>
              </w:rPr>
              <w:t>, 725), кабинет на 8 этаже (811</w:t>
            </w:r>
            <w:r w:rsidRPr="00B47F9B">
              <w:rPr>
                <w:rFonts w:asciiTheme="majorHAnsi" w:hAnsiTheme="majorHAnsi" w:cs="Times New Roman"/>
                <w:sz w:val="22"/>
                <w:szCs w:val="22"/>
              </w:rPr>
              <w:t>) в здании по адресу: г. Новосибирск, ул. Шамшурина, 33</w:t>
            </w:r>
            <w:r w:rsidR="00AE57FA">
              <w:rPr>
                <w:rFonts w:asciiTheme="majorHAnsi" w:hAnsiTheme="majorHAnsi" w:cs="Times New Roman"/>
                <w:sz w:val="22"/>
                <w:szCs w:val="22"/>
              </w:rPr>
              <w:t xml:space="preserve"> и в здании по адресу: г. Новокузнецк, ул. Карбышева, 8  (2 этаж)</w:t>
            </w:r>
          </w:p>
        </w:tc>
      </w:tr>
      <w:tr w:rsidR="0050366F" w:rsidRPr="009A6E99" w:rsidTr="00A41A45">
        <w:tc>
          <w:tcPr>
            <w:tcW w:w="279" w:type="pct"/>
          </w:tcPr>
          <w:p w:rsidR="0050366F" w:rsidRPr="009A6E99" w:rsidRDefault="0050366F" w:rsidP="009A6E99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463" w:type="pct"/>
          </w:tcPr>
          <w:p w:rsidR="0050366F" w:rsidRPr="007260AA" w:rsidRDefault="0050366F" w:rsidP="007260A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260AA">
              <w:rPr>
                <w:rFonts w:asciiTheme="majorHAnsi" w:hAnsiTheme="majorHAnsi" w:cstheme="majorHAnsi"/>
                <w:i/>
                <w:sz w:val="22"/>
                <w:szCs w:val="22"/>
              </w:rPr>
              <w:t>Требования к сроку и (или) объему предоставления гарантий качества</w:t>
            </w:r>
          </w:p>
        </w:tc>
        <w:tc>
          <w:tcPr>
            <w:tcW w:w="3258" w:type="pct"/>
          </w:tcPr>
          <w:p w:rsidR="00CF38C8" w:rsidRPr="00201B2A" w:rsidRDefault="00CF38C8" w:rsidP="00CF38C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sz w:val="22"/>
                <w:szCs w:val="22"/>
              </w:rPr>
              <w:t xml:space="preserve">Гарантийный срок на поставляемые товары, указываемый поставщиком, должен быть не менее срока, установленного производителем данных товаров, </w:t>
            </w:r>
            <w:r w:rsidRPr="00D36AEB">
              <w:rPr>
                <w:rFonts w:asciiTheme="majorHAnsi" w:hAnsiTheme="majorHAnsi" w:cstheme="majorHAnsi"/>
                <w:sz w:val="22"/>
                <w:szCs w:val="22"/>
              </w:rPr>
              <w:t>но не менее 12 (Двенадцати) месяцев.</w:t>
            </w:r>
          </w:p>
          <w:p w:rsidR="0050366F" w:rsidRPr="008E5AE3" w:rsidRDefault="00CF38C8" w:rsidP="00CF38C8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sz w:val="22"/>
                <w:szCs w:val="22"/>
              </w:rPr>
              <w:t>Гарантийный срок действует с момента подписания сторонами акта сдачи-приемки исполнения обязательств по договору. Гарантийный срок на комплектующие товаров считается равным гарантийному сроку на весь товар. Если Заказчик лишен возможности использовать товар или его комплектующие, в отношении которых установлены гарантийные сроки, по обстоятельствам, зависящим от поставщика, действие гарантийного срока продлевается поставщиком на срок устранения соответствующих обстоятельств (независимо от места нахождения товара).</w:t>
            </w:r>
          </w:p>
        </w:tc>
      </w:tr>
      <w:tr w:rsidR="00D22818" w:rsidRPr="009A6E99" w:rsidTr="00A41A45">
        <w:tc>
          <w:tcPr>
            <w:tcW w:w="279" w:type="pct"/>
          </w:tcPr>
          <w:p w:rsidR="00D22818" w:rsidRPr="009A6E99" w:rsidRDefault="00D22818" w:rsidP="009A6E99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463" w:type="pct"/>
          </w:tcPr>
          <w:p w:rsidR="00D22818" w:rsidRPr="007260AA" w:rsidRDefault="00CF38C8" w:rsidP="007260A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4249E">
              <w:rPr>
                <w:rFonts w:asciiTheme="majorHAnsi" w:hAnsiTheme="majorHAnsi" w:cstheme="majorHAnsi"/>
                <w:i/>
                <w:sz w:val="22"/>
                <w:szCs w:val="22"/>
              </w:rPr>
              <w:t>Порядок формирования цены договора (цены лота)</w:t>
            </w:r>
          </w:p>
        </w:tc>
        <w:tc>
          <w:tcPr>
            <w:tcW w:w="3258" w:type="pct"/>
          </w:tcPr>
          <w:p w:rsidR="00D22818" w:rsidRPr="008E5AE3" w:rsidRDefault="00CF38C8" w:rsidP="002E2CBD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CF38C8">
              <w:rPr>
                <w:rFonts w:asciiTheme="majorHAnsi" w:hAnsiTheme="majorHAnsi" w:cs="Times New Roman"/>
                <w:sz w:val="22"/>
                <w:szCs w:val="22"/>
              </w:rPr>
              <w:t>Стоимость Товара включает в себя все затраты и расходы Поставщика, связанные с оказанием соответствующих работ/поставкой товара</w:t>
            </w:r>
          </w:p>
        </w:tc>
      </w:tr>
      <w:tr w:rsidR="009A6E99" w:rsidRPr="009A6E99" w:rsidTr="00A41A45">
        <w:tc>
          <w:tcPr>
            <w:tcW w:w="279" w:type="pct"/>
          </w:tcPr>
          <w:p w:rsidR="009A6E99" w:rsidRPr="009A6E99" w:rsidRDefault="009A6E99" w:rsidP="009A6E99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463" w:type="pct"/>
          </w:tcPr>
          <w:p w:rsidR="009A6E99" w:rsidRPr="007260AA" w:rsidRDefault="002F2678" w:rsidP="007260A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260AA">
              <w:rPr>
                <w:rFonts w:asciiTheme="majorHAnsi" w:hAnsiTheme="majorHAnsi" w:cstheme="majorHAnsi"/>
                <w:i/>
                <w:sz w:val="22"/>
                <w:szCs w:val="22"/>
              </w:rPr>
              <w:t>Условия оплаты</w:t>
            </w:r>
          </w:p>
        </w:tc>
        <w:tc>
          <w:tcPr>
            <w:tcW w:w="3258" w:type="pct"/>
          </w:tcPr>
          <w:p w:rsidR="009A6E99" w:rsidRPr="00183EF5" w:rsidRDefault="002F2678" w:rsidP="009A6E99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183EF5">
              <w:rPr>
                <w:rFonts w:asciiTheme="majorHAnsi" w:hAnsiTheme="majorHAnsi" w:cs="Times New Roman"/>
                <w:sz w:val="22"/>
                <w:szCs w:val="22"/>
              </w:rPr>
              <w:t>Предпочтительно: 100% постоплата по факту поставки в течение 10 (десяти) рабочих дней</w:t>
            </w:r>
          </w:p>
        </w:tc>
      </w:tr>
      <w:tr w:rsidR="00CF38C8" w:rsidRPr="009A6E99" w:rsidTr="00A41A45">
        <w:tc>
          <w:tcPr>
            <w:tcW w:w="279" w:type="pct"/>
          </w:tcPr>
          <w:p w:rsidR="00CF38C8" w:rsidRPr="009A6E99" w:rsidRDefault="00CF38C8" w:rsidP="009A6E99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463" w:type="pct"/>
          </w:tcPr>
          <w:p w:rsidR="00CF38C8" w:rsidRPr="007260AA" w:rsidRDefault="00CF38C8" w:rsidP="007260A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4249E">
              <w:rPr>
                <w:rFonts w:asciiTheme="majorHAnsi" w:hAnsiTheme="majorHAnsi" w:cstheme="majorHAnsi"/>
                <w:i/>
                <w:sz w:val="22"/>
                <w:szCs w:val="22"/>
              </w:rPr>
              <w:t>Выбор победителя</w:t>
            </w:r>
          </w:p>
        </w:tc>
        <w:tc>
          <w:tcPr>
            <w:tcW w:w="3258" w:type="pct"/>
          </w:tcPr>
          <w:p w:rsidR="00CF38C8" w:rsidRPr="0016063F" w:rsidRDefault="00CF38C8" w:rsidP="0016063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6063F">
              <w:rPr>
                <w:rFonts w:asciiTheme="majorHAnsi" w:hAnsiTheme="majorHAnsi" w:cs="Times New Roman"/>
                <w:b/>
              </w:rPr>
              <w:t>Победитель может быть выбран как по цело</w:t>
            </w:r>
            <w:r w:rsidR="0016063F">
              <w:rPr>
                <w:rFonts w:asciiTheme="majorHAnsi" w:hAnsiTheme="majorHAnsi" w:cs="Times New Roman"/>
                <w:b/>
              </w:rPr>
              <w:t>му Лоту, так и по части позиций</w:t>
            </w:r>
            <w:r w:rsidR="00F01CE8">
              <w:rPr>
                <w:rFonts w:asciiTheme="majorHAnsi" w:hAnsiTheme="majorHAnsi" w:cs="Times New Roman"/>
                <w:b/>
              </w:rPr>
              <w:t>.</w:t>
            </w:r>
          </w:p>
          <w:p w:rsidR="00CF38C8" w:rsidRPr="00F01CE8" w:rsidRDefault="00CF38C8" w:rsidP="00F01CE8">
            <w:pPr>
              <w:jc w:val="both"/>
              <w:rPr>
                <w:rFonts w:asciiTheme="majorHAnsi" w:hAnsiTheme="majorHAnsi" w:cs="Times New Roman"/>
                <w:b/>
              </w:rPr>
            </w:pPr>
            <w:r w:rsidRPr="00C23094">
              <w:rPr>
                <w:rFonts w:asciiTheme="majorHAnsi" w:hAnsiTheme="majorHAnsi" w:cs="Times New Roman"/>
                <w:b/>
              </w:rPr>
              <w:t>Параме</w:t>
            </w:r>
            <w:r w:rsidR="0016063F">
              <w:rPr>
                <w:rFonts w:asciiTheme="majorHAnsi" w:hAnsiTheme="majorHAnsi" w:cs="Times New Roman"/>
                <w:b/>
              </w:rPr>
              <w:t xml:space="preserve">тры, отмеченные красным цветом </w:t>
            </w:r>
            <w:r w:rsidRPr="00C23094">
              <w:rPr>
                <w:rFonts w:asciiTheme="majorHAnsi" w:hAnsiTheme="majorHAnsi" w:cs="Times New Roman"/>
                <w:b/>
              </w:rPr>
              <w:t xml:space="preserve">в </w:t>
            </w:r>
            <w:r>
              <w:rPr>
                <w:rFonts w:asciiTheme="majorHAnsi" w:hAnsiTheme="majorHAnsi" w:cstheme="majorHAnsi"/>
                <w:b/>
              </w:rPr>
              <w:t xml:space="preserve">Приложении </w:t>
            </w:r>
            <w:r w:rsidRPr="001A3101">
              <w:rPr>
                <w:rFonts w:asciiTheme="majorHAnsi" w:hAnsiTheme="majorHAnsi" w:cstheme="majorHAnsi"/>
                <w:b/>
              </w:rPr>
              <w:t>3_</w:t>
            </w:r>
            <w:r>
              <w:rPr>
                <w:rFonts w:asciiTheme="majorHAnsi" w:hAnsiTheme="majorHAnsi" w:cstheme="majorHAnsi"/>
                <w:b/>
              </w:rPr>
              <w:t xml:space="preserve">Форма технического предложения </w:t>
            </w:r>
            <w:r w:rsidRPr="00C23094">
              <w:rPr>
                <w:rFonts w:asciiTheme="majorHAnsi" w:hAnsiTheme="majorHAnsi" w:cstheme="majorHAnsi"/>
                <w:b/>
              </w:rPr>
              <w:t xml:space="preserve">являются </w:t>
            </w:r>
            <w:r w:rsidRPr="00C23094">
              <w:rPr>
                <w:rFonts w:asciiTheme="majorHAnsi" w:hAnsiTheme="majorHAnsi" w:cs="Times New Roman"/>
                <w:b/>
              </w:rPr>
              <w:t>приоритетными для АО "ПГК" и будут влиять на выбор победителя.</w:t>
            </w:r>
          </w:p>
        </w:tc>
      </w:tr>
      <w:tr w:rsidR="009A6E99" w:rsidRPr="009A6E99" w:rsidTr="00A41A45">
        <w:tc>
          <w:tcPr>
            <w:tcW w:w="279" w:type="pct"/>
          </w:tcPr>
          <w:p w:rsidR="009A6E99" w:rsidRPr="009A6E99" w:rsidRDefault="009A6E99" w:rsidP="009A6E99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463" w:type="pct"/>
          </w:tcPr>
          <w:p w:rsidR="009A6E99" w:rsidRPr="007260AA" w:rsidRDefault="009A6E99" w:rsidP="007260A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260AA">
              <w:rPr>
                <w:rFonts w:asciiTheme="majorHAnsi" w:hAnsiTheme="majorHAnsi" w:cstheme="majorHAnsi"/>
                <w:i/>
                <w:sz w:val="22"/>
                <w:szCs w:val="22"/>
              </w:rPr>
              <w:t>Приложения</w:t>
            </w:r>
          </w:p>
        </w:tc>
        <w:tc>
          <w:tcPr>
            <w:tcW w:w="3258" w:type="pct"/>
          </w:tcPr>
          <w:p w:rsidR="009A6E99" w:rsidRPr="00183EF5" w:rsidRDefault="009A6E99" w:rsidP="00826531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183EF5">
              <w:rPr>
                <w:rFonts w:asciiTheme="majorHAnsi" w:hAnsiTheme="majorHAnsi" w:cs="Times New Roman"/>
                <w:sz w:val="22"/>
                <w:szCs w:val="22"/>
              </w:rPr>
              <w:t xml:space="preserve">Приложение 1 – </w:t>
            </w:r>
            <w:r w:rsidR="00826531">
              <w:rPr>
                <w:rFonts w:asciiTheme="majorHAnsi" w:hAnsiTheme="majorHAnsi" w:cs="Times New Roman"/>
                <w:sz w:val="22"/>
                <w:szCs w:val="22"/>
              </w:rPr>
              <w:t>Спецификация №1</w:t>
            </w:r>
            <w:r w:rsidR="0051159C" w:rsidRPr="00183EF5">
              <w:rPr>
                <w:rFonts w:asciiTheme="majorHAnsi" w:hAnsiTheme="majorHAnsi" w:cs="Times New Roman"/>
                <w:sz w:val="22"/>
                <w:szCs w:val="22"/>
              </w:rPr>
              <w:t xml:space="preserve"> к ТЗ</w:t>
            </w:r>
          </w:p>
        </w:tc>
      </w:tr>
      <w:tr w:rsidR="00EC679D" w:rsidRPr="009A6E99" w:rsidTr="00A41A45">
        <w:tc>
          <w:tcPr>
            <w:tcW w:w="279" w:type="pct"/>
          </w:tcPr>
          <w:p w:rsidR="00EC679D" w:rsidRPr="009A6E99" w:rsidRDefault="00EC679D" w:rsidP="009A6E99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463" w:type="pct"/>
          </w:tcPr>
          <w:p w:rsidR="00EC679D" w:rsidRPr="007260AA" w:rsidRDefault="00EC679D" w:rsidP="007260A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Ответственный закупщик</w:t>
            </w:r>
          </w:p>
        </w:tc>
        <w:tc>
          <w:tcPr>
            <w:tcW w:w="3258" w:type="pct"/>
          </w:tcPr>
          <w:p w:rsidR="00EC679D" w:rsidRDefault="00EC679D" w:rsidP="00826531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Кудряшова Юлия Александровна </w:t>
            </w:r>
          </w:p>
          <w:p w:rsidR="00EC679D" w:rsidRDefault="00EC679D" w:rsidP="00826531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bookmarkStart w:id="0" w:name="_GoBack"/>
            <w:bookmarkEnd w:id="0"/>
            <w:r w:rsidRPr="00EC679D">
              <w:rPr>
                <w:rFonts w:asciiTheme="majorHAnsi" w:hAnsiTheme="majorHAnsi" w:cs="Times New Roman"/>
                <w:sz w:val="22"/>
                <w:szCs w:val="22"/>
              </w:rPr>
              <w:t>KromanYA@PGK.RU</w:t>
            </w:r>
          </w:p>
          <w:p w:rsidR="00EC679D" w:rsidRPr="00183EF5" w:rsidRDefault="00EC679D" w:rsidP="00826531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EC679D">
              <w:rPr>
                <w:rFonts w:asciiTheme="majorHAnsi" w:hAnsiTheme="majorHAnsi" w:cs="Times New Roman"/>
                <w:sz w:val="22"/>
                <w:szCs w:val="22"/>
              </w:rPr>
              <w:t>8 800 775-16-16 (5-05-50)</w:t>
            </w:r>
          </w:p>
        </w:tc>
      </w:tr>
    </w:tbl>
    <w:p w:rsidR="00C05444" w:rsidRPr="009A6E99" w:rsidRDefault="00C05444" w:rsidP="00AE57FA">
      <w:pPr>
        <w:rPr>
          <w:rFonts w:asciiTheme="majorHAnsi" w:eastAsia="ヒラギノ角ゴ Pro W3" w:hAnsiTheme="majorHAnsi" w:cs="Times New Roman"/>
          <w:color w:val="000000"/>
          <w:sz w:val="22"/>
          <w:szCs w:val="22"/>
        </w:rPr>
      </w:pPr>
    </w:p>
    <w:sectPr w:rsidR="00C05444" w:rsidRPr="009A6E99" w:rsidSect="00F0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07" w:rsidRDefault="00453807" w:rsidP="0090076A">
      <w:r>
        <w:separator/>
      </w:r>
    </w:p>
  </w:endnote>
  <w:endnote w:type="continuationSeparator" w:id="0">
    <w:p w:rsidR="00453807" w:rsidRDefault="00453807" w:rsidP="0090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07" w:rsidRDefault="00453807" w:rsidP="0090076A">
      <w:r>
        <w:separator/>
      </w:r>
    </w:p>
  </w:footnote>
  <w:footnote w:type="continuationSeparator" w:id="0">
    <w:p w:rsidR="00453807" w:rsidRDefault="00453807" w:rsidP="0090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E8F357D"/>
    <w:multiLevelType w:val="hybridMultilevel"/>
    <w:tmpl w:val="3738F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FBA"/>
    <w:multiLevelType w:val="hybridMultilevel"/>
    <w:tmpl w:val="32741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F2322"/>
    <w:multiLevelType w:val="hybridMultilevel"/>
    <w:tmpl w:val="B81EC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CC8"/>
    <w:multiLevelType w:val="hybridMultilevel"/>
    <w:tmpl w:val="B3707E56"/>
    <w:lvl w:ilvl="0" w:tplc="41D27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E0B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4F3E7C"/>
    <w:multiLevelType w:val="hybridMultilevel"/>
    <w:tmpl w:val="D9DA1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3627"/>
    <w:multiLevelType w:val="hybridMultilevel"/>
    <w:tmpl w:val="7E68E5EA"/>
    <w:lvl w:ilvl="0" w:tplc="F4C6EDE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E15DD"/>
    <w:multiLevelType w:val="hybridMultilevel"/>
    <w:tmpl w:val="C1CA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C2B0C"/>
    <w:multiLevelType w:val="multilevel"/>
    <w:tmpl w:val="8E2E1B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10" w15:restartNumberingAfterBreak="0">
    <w:nsid w:val="567762A9"/>
    <w:multiLevelType w:val="hybridMultilevel"/>
    <w:tmpl w:val="77E2A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C0803"/>
    <w:multiLevelType w:val="multilevel"/>
    <w:tmpl w:val="5BF686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D750F3"/>
    <w:multiLevelType w:val="hybridMultilevel"/>
    <w:tmpl w:val="CEB0F57E"/>
    <w:lvl w:ilvl="0" w:tplc="633A2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2541F"/>
    <w:multiLevelType w:val="multilevel"/>
    <w:tmpl w:val="E4BC9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78"/>
    <w:rsid w:val="00012C5E"/>
    <w:rsid w:val="00013A61"/>
    <w:rsid w:val="00014C23"/>
    <w:rsid w:val="00030724"/>
    <w:rsid w:val="00111FA6"/>
    <w:rsid w:val="00117B53"/>
    <w:rsid w:val="00133730"/>
    <w:rsid w:val="0016063F"/>
    <w:rsid w:val="00162C19"/>
    <w:rsid w:val="00183EF5"/>
    <w:rsid w:val="001A304A"/>
    <w:rsid w:val="001D136D"/>
    <w:rsid w:val="001F06BA"/>
    <w:rsid w:val="00221290"/>
    <w:rsid w:val="00245C44"/>
    <w:rsid w:val="0027604C"/>
    <w:rsid w:val="002E2CBD"/>
    <w:rsid w:val="002F06EF"/>
    <w:rsid w:val="002F2678"/>
    <w:rsid w:val="0031562A"/>
    <w:rsid w:val="0033348E"/>
    <w:rsid w:val="003418AF"/>
    <w:rsid w:val="003601CA"/>
    <w:rsid w:val="00383375"/>
    <w:rsid w:val="003A6B4F"/>
    <w:rsid w:val="003F006F"/>
    <w:rsid w:val="00453807"/>
    <w:rsid w:val="004B798A"/>
    <w:rsid w:val="0050366F"/>
    <w:rsid w:val="0051159C"/>
    <w:rsid w:val="0056630D"/>
    <w:rsid w:val="00585291"/>
    <w:rsid w:val="00592678"/>
    <w:rsid w:val="005D33E7"/>
    <w:rsid w:val="005F2E03"/>
    <w:rsid w:val="00617A5D"/>
    <w:rsid w:val="006B109C"/>
    <w:rsid w:val="006B20B2"/>
    <w:rsid w:val="006C0DDE"/>
    <w:rsid w:val="00701EE5"/>
    <w:rsid w:val="007260AA"/>
    <w:rsid w:val="00732333"/>
    <w:rsid w:val="0074060E"/>
    <w:rsid w:val="007D1F9C"/>
    <w:rsid w:val="00823CD5"/>
    <w:rsid w:val="00826531"/>
    <w:rsid w:val="00846558"/>
    <w:rsid w:val="008803B7"/>
    <w:rsid w:val="00881CF1"/>
    <w:rsid w:val="008D3E33"/>
    <w:rsid w:val="008E25A7"/>
    <w:rsid w:val="008E2B7E"/>
    <w:rsid w:val="008E5AE3"/>
    <w:rsid w:val="0090076A"/>
    <w:rsid w:val="00903B34"/>
    <w:rsid w:val="00940F39"/>
    <w:rsid w:val="0095643B"/>
    <w:rsid w:val="009635DF"/>
    <w:rsid w:val="009A6E99"/>
    <w:rsid w:val="009B2102"/>
    <w:rsid w:val="00A31045"/>
    <w:rsid w:val="00A41A45"/>
    <w:rsid w:val="00AD5C2A"/>
    <w:rsid w:val="00AE57FA"/>
    <w:rsid w:val="00AF29CA"/>
    <w:rsid w:val="00B00BCE"/>
    <w:rsid w:val="00B47F9B"/>
    <w:rsid w:val="00C05444"/>
    <w:rsid w:val="00C87396"/>
    <w:rsid w:val="00CC6A18"/>
    <w:rsid w:val="00CF38C8"/>
    <w:rsid w:val="00CF6FE5"/>
    <w:rsid w:val="00D22818"/>
    <w:rsid w:val="00D239D6"/>
    <w:rsid w:val="00D35AC1"/>
    <w:rsid w:val="00D96539"/>
    <w:rsid w:val="00D9747A"/>
    <w:rsid w:val="00DE0D31"/>
    <w:rsid w:val="00DE6D53"/>
    <w:rsid w:val="00E07615"/>
    <w:rsid w:val="00E450FC"/>
    <w:rsid w:val="00E45811"/>
    <w:rsid w:val="00E57575"/>
    <w:rsid w:val="00EC679D"/>
    <w:rsid w:val="00F01CE8"/>
    <w:rsid w:val="00FC5C34"/>
    <w:rsid w:val="00F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AD027A"/>
  <w15:chartTrackingRefBased/>
  <w15:docId w15:val="{824AE1C2-7844-49D3-A02D-1806C5FA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0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007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0076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9007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90076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1,UL,Абзац маркированнный"/>
    <w:basedOn w:val="a0"/>
    <w:link w:val="a9"/>
    <w:uiPriority w:val="34"/>
    <w:qFormat/>
    <w:rsid w:val="006B20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aliases w:val="1 Знак,UL Знак,Абзац маркированнный Знак"/>
    <w:link w:val="a8"/>
    <w:uiPriority w:val="34"/>
    <w:rsid w:val="006B20B2"/>
  </w:style>
  <w:style w:type="table" w:styleId="aa">
    <w:name w:val="Table Grid"/>
    <w:basedOn w:val="a2"/>
    <w:uiPriority w:val="59"/>
    <w:rsid w:val="006B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6B20B2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6B20B2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6B20B2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6B20B2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6B20B2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6B20B2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1"/>
    <w:uiPriority w:val="1"/>
    <w:rsid w:val="006B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E6A1-5DD5-481C-B057-F0710B08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Грешникова Алина Александровна</dc:creator>
  <cp:keywords/>
  <dc:description/>
  <cp:lastModifiedBy>Кудряшова Юлия Александровна</cp:lastModifiedBy>
  <cp:revision>9</cp:revision>
  <dcterms:created xsi:type="dcterms:W3CDTF">2024-10-24T07:17:00Z</dcterms:created>
  <dcterms:modified xsi:type="dcterms:W3CDTF">2024-10-24T10:07:00Z</dcterms:modified>
</cp:coreProperties>
</file>