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D6" w:rsidRPr="00015DD6" w:rsidRDefault="00015DD6" w:rsidP="00015DD6">
      <w:pPr>
        <w:jc w:val="center"/>
        <w:rPr>
          <w:b/>
          <w:sz w:val="28"/>
          <w:szCs w:val="28"/>
        </w:rPr>
      </w:pPr>
      <w:r w:rsidRPr="00015DD6">
        <w:rPr>
          <w:b/>
          <w:sz w:val="28"/>
          <w:szCs w:val="28"/>
        </w:rPr>
        <w:t>ДОКУМЕНТАЦИЯ О ЗАКУПКЕ</w:t>
      </w:r>
      <w:r w:rsidR="005D6ECD">
        <w:rPr>
          <w:b/>
          <w:sz w:val="28"/>
          <w:szCs w:val="28"/>
        </w:rPr>
        <w:t xml:space="preserve"> ЕТУ-2023_1</w:t>
      </w:r>
    </w:p>
    <w:p w:rsidR="00015DD6" w:rsidRDefault="00015DD6"/>
    <w:p w:rsidR="00015DD6" w:rsidRDefault="00015DD6">
      <w:r w:rsidRPr="00015DD6">
        <w:rPr>
          <w:b/>
        </w:rPr>
        <w:t xml:space="preserve">Способ закупки: </w:t>
      </w:r>
      <w:r>
        <w:t>многоэтапный тендер.</w:t>
      </w:r>
    </w:p>
    <w:p w:rsidR="00015DD6" w:rsidRDefault="00015DD6">
      <w:r w:rsidRPr="00015DD6">
        <w:rPr>
          <w:b/>
        </w:rPr>
        <w:t xml:space="preserve">Заказчик: </w:t>
      </w:r>
      <w:r>
        <w:t>ООО «</w:t>
      </w:r>
      <w:proofErr w:type="spellStart"/>
      <w:r>
        <w:t>ЕвроХим</w:t>
      </w:r>
      <w:proofErr w:type="spellEnd"/>
      <w:r>
        <w:t xml:space="preserve"> Терминал Усть-Луга» </w:t>
      </w:r>
    </w:p>
    <w:p w:rsidR="00015DD6" w:rsidRDefault="00015DD6">
      <w:r w:rsidRPr="00015DD6">
        <w:rPr>
          <w:b/>
        </w:rPr>
        <w:t xml:space="preserve">Место нахождения Заказчика: </w:t>
      </w:r>
      <w:r>
        <w:t xml:space="preserve">188480, Ленинградская область, </w:t>
      </w:r>
      <w:proofErr w:type="spellStart"/>
      <w:r>
        <w:t>Кингисеппский</w:t>
      </w:r>
      <w:proofErr w:type="spellEnd"/>
      <w:r>
        <w:t xml:space="preserve"> район, промышленная зона Фосфорит, проезд Центральный, стр. 2 Почтовый адрес Заказчика: 188480, Ленинградская область, г. Кингисепп, ул. Большая Советская, дом 16, Главпочтамт, а/я № 5 </w:t>
      </w:r>
    </w:p>
    <w:p w:rsidR="00015DD6" w:rsidRDefault="00015DD6">
      <w:r w:rsidRPr="00015DD6">
        <w:rPr>
          <w:b/>
        </w:rPr>
        <w:t xml:space="preserve">Контактная информация: </w:t>
      </w:r>
      <w:r>
        <w:t xml:space="preserve">Почтовый адрес: 188480, Ленинградская область, г. Кингисепп, ул. Большая Советская, дом 16, Главпочтамт, а/я № 5 </w:t>
      </w:r>
    </w:p>
    <w:p w:rsidR="00015DD6" w:rsidRDefault="00015DD6">
      <w:r w:rsidRPr="00015DD6">
        <w:rPr>
          <w:b/>
        </w:rPr>
        <w:t>Адрес электронной почты:</w:t>
      </w:r>
      <w:r>
        <w:t xml:space="preserve"> </w:t>
      </w:r>
      <w:r w:rsidR="007B253F" w:rsidRPr="007B253F">
        <w:t>PodosenovaON@ntk-corp.ru</w:t>
      </w:r>
    </w:p>
    <w:p w:rsidR="00A71421" w:rsidRDefault="00015DD6" w:rsidP="00E9114E">
      <w:r w:rsidRPr="00015DD6">
        <w:rPr>
          <w:b/>
        </w:rPr>
        <w:t>Предмет договора:</w:t>
      </w:r>
      <w:r>
        <w:t xml:space="preserve"> </w:t>
      </w:r>
      <w:r w:rsidR="00E9114E">
        <w:t xml:space="preserve">выполнение работ по устройству шпунтового </w:t>
      </w:r>
      <w:r w:rsidR="00E9114E">
        <w:t xml:space="preserve">ограждения очистных сооружений </w:t>
      </w:r>
      <w:bookmarkStart w:id="0" w:name="_GoBack"/>
      <w:bookmarkEnd w:id="0"/>
      <w:r w:rsidR="00E9114E">
        <w:t>«Терминала по перевалке минеральных удобрений в МТП Усть-Луга»</w:t>
      </w:r>
    </w:p>
    <w:p w:rsidR="00664982" w:rsidRDefault="00015DD6">
      <w:r w:rsidRPr="00015DD6">
        <w:rPr>
          <w:b/>
        </w:rPr>
        <w:t xml:space="preserve">Выполнение работ: </w:t>
      </w:r>
      <w:r>
        <w:t>в соответствии с Техническим заданием, Рабочей документацией (Приложение №1</w:t>
      </w:r>
      <w:r w:rsidR="00262153">
        <w:t>-</w:t>
      </w:r>
      <w:r>
        <w:t xml:space="preserve">к Техническому заданию). </w:t>
      </w:r>
    </w:p>
    <w:p w:rsidR="004236D5" w:rsidRDefault="00015DD6" w:rsidP="004236D5">
      <w:pPr>
        <w:rPr>
          <w:highlight w:val="yellow"/>
        </w:rPr>
      </w:pPr>
      <w:r w:rsidRPr="00664982">
        <w:rPr>
          <w:b/>
        </w:rPr>
        <w:t xml:space="preserve">Срок выполнения работ: </w:t>
      </w:r>
    </w:p>
    <w:p w:rsidR="004236D5" w:rsidRDefault="004236D5" w:rsidP="004236D5">
      <w:r>
        <w:t>20.12.2023 - 25.01.2024 монтаж шпунтового ограждения и распорного пояса.</w:t>
      </w:r>
    </w:p>
    <w:p w:rsidR="004236D5" w:rsidRDefault="004236D5" w:rsidP="004236D5">
      <w:r>
        <w:t>15.01.2024 – 25.02.2024 устройство котлована (земляных работ).</w:t>
      </w:r>
    </w:p>
    <w:p w:rsidR="004236D5" w:rsidRDefault="004236D5" w:rsidP="004236D5">
      <w:r>
        <w:t>Сроки демонтажа распорного пояса определяется в соответствии КСГ.</w:t>
      </w:r>
    </w:p>
    <w:p w:rsidR="004236D5" w:rsidRDefault="004236D5" w:rsidP="004236D5">
      <w:r>
        <w:t>01.06.2024 – 20.06.2024 демонтаж шпунтового ограждения.</w:t>
      </w:r>
    </w:p>
    <w:p w:rsidR="004236D5" w:rsidRDefault="004236D5" w:rsidP="004236D5"/>
    <w:p w:rsidR="00664982" w:rsidRPr="00EC5DC8" w:rsidRDefault="00015DD6" w:rsidP="004236D5">
      <w:pPr>
        <w:rPr>
          <w:u w:val="single"/>
        </w:rPr>
      </w:pPr>
      <w:r w:rsidRPr="00EC5DC8">
        <w:rPr>
          <w:b/>
          <w:sz w:val="24"/>
          <w:szCs w:val="24"/>
          <w:u w:val="single"/>
        </w:rPr>
        <w:t xml:space="preserve">Порядок проведения многоэтапного тендера: </w:t>
      </w:r>
    </w:p>
    <w:p w:rsidR="00664982" w:rsidRDefault="00015DD6">
      <w:r w:rsidRPr="00664982">
        <w:rPr>
          <w:b/>
        </w:rPr>
        <w:t>Срок, порядок и место предоставления заявки на участие в многоэтапном тендере:</w:t>
      </w:r>
      <w:r w:rsidRPr="00A71421">
        <w:t xml:space="preserve"> </w:t>
      </w:r>
      <w:r w:rsidR="00A71421" w:rsidRPr="00A71421">
        <w:t xml:space="preserve">заявку можно подать на отдельный лот или на два лота. </w:t>
      </w:r>
      <w:r w:rsidR="00A71421">
        <w:t>З</w:t>
      </w:r>
      <w:r>
        <w:t xml:space="preserve">аявка на участие в многоэтапном тендере является неотъемлемой частью Документации о закупке. Заявки принимаются в электронном виде </w:t>
      </w:r>
      <w:r w:rsidR="00062247" w:rsidRPr="00062247">
        <w:t xml:space="preserve">на </w:t>
      </w:r>
      <w:r>
        <w:t>Электронной Торговой Площадке «</w:t>
      </w:r>
      <w:proofErr w:type="spellStart"/>
      <w:r>
        <w:t>Росэлторг</w:t>
      </w:r>
      <w:proofErr w:type="spellEnd"/>
      <w:r>
        <w:t>»</w:t>
      </w:r>
      <w:r w:rsidR="00062247">
        <w:t xml:space="preserve"> https://business.roseltorg.ru</w:t>
      </w:r>
      <w:r>
        <w:t xml:space="preserve">. Запросы о разъяснении документации о закупке принимаются от даты размещения Документации о закупке и заканчивают приниматься за 3 рабочих дня до окончания срока подачи заявок. </w:t>
      </w:r>
    </w:p>
    <w:p w:rsidR="00664982" w:rsidRDefault="00015DD6" w:rsidP="00A71421">
      <w:r>
        <w:t xml:space="preserve">Запросы на разъяснения документации о закупке принимаются на адрес электронной почты </w:t>
      </w:r>
      <w:r w:rsidR="007B253F" w:rsidRPr="007B253F">
        <w:t>PodosenovaON@ntk-corp.ru</w:t>
      </w:r>
      <w:r w:rsidRPr="007B253F">
        <w:t>.</w:t>
      </w:r>
      <w:r>
        <w:t xml:space="preserve"> Запросы должны быть оформлены на фирменном бланке организации. Обращаем Ваше внимание, что в теме электронного письма обязательно указать следующее название: </w:t>
      </w:r>
      <w:r w:rsidR="00657D1B" w:rsidRPr="00657D1B">
        <w:t>выполнение работ по строительству вспомогательных объектов «Терминала по перевалке минеральных удобрений в МТП Усть-Луга. Береговые объекты терминала»</w:t>
      </w:r>
      <w:r w:rsidR="00A71421">
        <w:t>.</w:t>
      </w:r>
      <w:r>
        <w:t xml:space="preserve"> Ответ на запрос будет направлен электронным письмом на эл. почтовый ящик отправителя. </w:t>
      </w:r>
    </w:p>
    <w:p w:rsidR="00664982" w:rsidRDefault="00015DD6">
      <w:r w:rsidRPr="00664982">
        <w:rPr>
          <w:b/>
        </w:rPr>
        <w:t>Место рассмотрения заявок участников:</w:t>
      </w:r>
      <w:r>
        <w:t xml:space="preserve"> 188480, Ленинградская область, г. Кингисепп, ул. Большая Советская, дом 16, Главпочтамт, а/я № 5 </w:t>
      </w:r>
    </w:p>
    <w:p w:rsidR="00FE0333" w:rsidRDefault="00015DD6">
      <w:r w:rsidRPr="00664982">
        <w:rPr>
          <w:b/>
        </w:rPr>
        <w:t xml:space="preserve">Дата и время начала подачи заявок на участие в многоэтапном тендере: </w:t>
      </w:r>
      <w:r>
        <w:t xml:space="preserve">с момента публикации документации о закупке в единой информационной системе. </w:t>
      </w:r>
    </w:p>
    <w:p w:rsidR="00FE0333" w:rsidRDefault="00015DD6">
      <w:r w:rsidRPr="00FE0333">
        <w:rPr>
          <w:b/>
        </w:rPr>
        <w:t>Дата окончания подачи заявок:</w:t>
      </w:r>
      <w:r>
        <w:t xml:space="preserve"> </w:t>
      </w:r>
      <w:r w:rsidR="001357FD" w:rsidRPr="001357FD">
        <w:t>19</w:t>
      </w:r>
      <w:r w:rsidR="007B253F" w:rsidRPr="001357FD">
        <w:t>.12</w:t>
      </w:r>
      <w:r w:rsidR="001357FD" w:rsidRPr="001357FD">
        <w:t>.2023 11</w:t>
      </w:r>
      <w:r w:rsidRPr="001357FD">
        <w:t xml:space="preserve"> ч.59 мин </w:t>
      </w:r>
      <w:r w:rsidR="001357FD" w:rsidRPr="001357FD">
        <w:t>(МСК</w:t>
      </w:r>
      <w:r w:rsidRPr="001357FD">
        <w:t>).</w:t>
      </w:r>
      <w:r>
        <w:t xml:space="preserve"> </w:t>
      </w:r>
    </w:p>
    <w:p w:rsidR="00FE0333" w:rsidRDefault="00015DD6">
      <w:r w:rsidRPr="00FE0333">
        <w:rPr>
          <w:b/>
        </w:rPr>
        <w:lastRenderedPageBreak/>
        <w:t>Дата рассмотрения заявок участников</w:t>
      </w:r>
      <w:r w:rsidRPr="001357FD">
        <w:rPr>
          <w:b/>
        </w:rPr>
        <w:t xml:space="preserve">: </w:t>
      </w:r>
      <w:r w:rsidR="001357FD" w:rsidRPr="001357FD">
        <w:t>25</w:t>
      </w:r>
      <w:r w:rsidR="007B253F" w:rsidRPr="001357FD">
        <w:t>.12</w:t>
      </w:r>
      <w:r w:rsidRPr="001357FD">
        <w:t>.2023.</w:t>
      </w:r>
      <w:r>
        <w:t xml:space="preserve"> </w:t>
      </w:r>
    </w:p>
    <w:p w:rsidR="00FE0333" w:rsidRDefault="00015DD6">
      <w:r>
        <w:t xml:space="preserve">1 этап: Сбор технико-коммерческих предложений На данном этапе Конкурсная комиссия рассматривает поступившие заявки участников, поданные в соответствии с требованиями, изложенными в настоящей Документации о закупке и Приложениях к ней на предмет соответствия Участников требованиям, изложенным в настоящей Документации о закупке, а также подводит итоги сбора технико-коммерческих предложений путём расчёта общего балла на основании критериев, изложенных в разделе «Порядок оценки и сопоставления заявок на участие в многоэтапном тендере» Документации о закупке. </w:t>
      </w:r>
    </w:p>
    <w:p w:rsidR="00FE0333" w:rsidRDefault="00015DD6">
      <w:r>
        <w:t xml:space="preserve">2 этап: </w:t>
      </w:r>
      <w:r w:rsidR="00FE0333">
        <w:t>Переторжка.</w:t>
      </w:r>
      <w:r>
        <w:t xml:space="preserve"> </w:t>
      </w:r>
      <w:r w:rsidR="00FE0333">
        <w:t>Переторжка</w:t>
      </w:r>
      <w:r>
        <w:t xml:space="preserve"> процедура будет проводиться среди</w:t>
      </w:r>
      <w:r w:rsidR="00FE0333">
        <w:t xml:space="preserve"> допущенных по итогу 1 этапа</w:t>
      </w:r>
      <w:r>
        <w:t xml:space="preserve"> участников закупки путем направления приглашения на ЭТП </w:t>
      </w:r>
      <w:proofErr w:type="spellStart"/>
      <w:r>
        <w:t>Росэлторг</w:t>
      </w:r>
      <w:proofErr w:type="spellEnd"/>
      <w:r w:rsidR="00FE0333">
        <w:t xml:space="preserve"> или</w:t>
      </w:r>
      <w:r>
        <w:t xml:space="preserve"> по электронной почте предложения участникам закупки улучшить свои коммерческие предложения, как по ценовым, так и по неценовым критериям с указанием срока предоставления обновленных коммерческих предложений. Заказчик вправе поменять</w:t>
      </w:r>
      <w:r w:rsidR="00FE0333">
        <w:t xml:space="preserve"> способ переторжки на очные переговоры со всеми допущенными участниками</w:t>
      </w:r>
      <w:r w:rsidR="00613D31">
        <w:t xml:space="preserve"> или отказаться от переторжки.</w:t>
      </w:r>
    </w:p>
    <w:p w:rsidR="00FE0333" w:rsidRDefault="00015DD6">
      <w:r>
        <w:t xml:space="preserve">Конкурсная комиссия подводит окончательные итоги многоэтапного тендера путём расчёта общего балла на основании критериев, изложенных в разделе «Порядок оценки и сопоставления заявок на участие в многоэтапном тендере» Документации о закупке. </w:t>
      </w:r>
    </w:p>
    <w:p w:rsidR="00934061" w:rsidRDefault="00015DD6">
      <w:r w:rsidRPr="00FE0333">
        <w:rPr>
          <w:b/>
        </w:rPr>
        <w:t xml:space="preserve">Подведение итогов проведения многоэтапного тендера: </w:t>
      </w:r>
      <w:r>
        <w:t xml:space="preserve">Место подведения итогов многоэтапного тендера: 188480, Ленинградская область, г. Кингисепп, ул. Большая Советская, дом 16, Главпочтамт, а/я № 5. </w:t>
      </w:r>
    </w:p>
    <w:p w:rsidR="00934061" w:rsidRDefault="00015DD6">
      <w:r>
        <w:t xml:space="preserve">Дата подведения итогов многоэтапного тендера: </w:t>
      </w:r>
      <w:r w:rsidR="001357FD" w:rsidRPr="001357FD">
        <w:t>30</w:t>
      </w:r>
      <w:r w:rsidRPr="001357FD">
        <w:t>.12.2023</w:t>
      </w:r>
      <w:r>
        <w:t xml:space="preserve"> </w:t>
      </w:r>
    </w:p>
    <w:p w:rsidR="00934061" w:rsidRDefault="00015DD6">
      <w:r>
        <w:t xml:space="preserve">Присутствие представителей участника не требуется. </w:t>
      </w:r>
    </w:p>
    <w:p w:rsidR="00934061" w:rsidRDefault="00934061"/>
    <w:p w:rsidR="00934061" w:rsidRPr="00EC5DC8" w:rsidRDefault="00015DD6">
      <w:pPr>
        <w:rPr>
          <w:b/>
          <w:sz w:val="24"/>
          <w:szCs w:val="24"/>
          <w:u w:val="single"/>
        </w:rPr>
      </w:pPr>
      <w:r w:rsidRPr="00EC5DC8">
        <w:rPr>
          <w:b/>
          <w:sz w:val="24"/>
          <w:szCs w:val="24"/>
          <w:u w:val="single"/>
        </w:rPr>
        <w:t xml:space="preserve">Требования к участникам закупки: </w:t>
      </w:r>
    </w:p>
    <w:p w:rsidR="00934061" w:rsidRDefault="00015DD6">
      <w:r>
        <w:sym w:font="Symbol" w:char="F02D"/>
      </w:r>
      <w:r>
        <w:t xml:space="preserve">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закупок (обладает необходимыми лицензиями или свидетельствами о допуске на поставку товаров, производство работ и оказание услуг,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 и т.д.); </w:t>
      </w:r>
    </w:p>
    <w:p w:rsidR="00934061" w:rsidRDefault="00015DD6">
      <w:r>
        <w:sym w:font="Symbol" w:char="F02D"/>
      </w:r>
      <w:r>
        <w:t xml:space="preserve"> не проведение ликвидации участника закупки - юридического лица и отсутствие решения арбитражного суда о признании участника размещения закупки - юридического лица, индивидуального предпринимателя банкротом и об открытии конкурсного производства (о введении реализации имущества гражданина – при банкротстве индивидуального предпринимателя);</w:t>
      </w:r>
    </w:p>
    <w:p w:rsidR="00934061" w:rsidRDefault="00015DD6">
      <w:r>
        <w:t xml:space="preserve"> </w:t>
      </w:r>
      <w:r>
        <w:sym w:font="Symbol" w:char="F02D"/>
      </w:r>
      <w:r>
        <w:t xml:space="preserve">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 </w:t>
      </w:r>
    </w:p>
    <w:p w:rsidR="00934061" w:rsidRDefault="00015DD6">
      <w:r>
        <w:sym w:font="Symbol" w:char="F02D"/>
      </w:r>
      <w:r>
        <w:t xml:space="preserve"> отсутствие у участника размещения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закупки по данным бухгалтерской отчетности за последний завершенный отчетный период. Участник закупки считается </w:t>
      </w:r>
      <w:r>
        <w:lastRenderedPageBreak/>
        <w:t>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934061" w:rsidRDefault="00015DD6">
      <w:r>
        <w:t xml:space="preserve"> </w:t>
      </w:r>
      <w:r>
        <w:sym w:font="Symbol" w:char="F02D"/>
      </w:r>
      <w:r>
        <w:t xml:space="preserve"> 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по мнению Конкурсной комиссии,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 </w:t>
      </w:r>
      <w:r>
        <w:sym w:font="Symbol" w:char="F02D"/>
      </w:r>
      <w:r>
        <w:t xml:space="preserve"> на имущество участника закупки не наложен арест либо в отношении имущества участника закупки не осуществлены иные ограничения гражданских прав; </w:t>
      </w:r>
    </w:p>
    <w:p w:rsidR="00934061" w:rsidRDefault="00015DD6">
      <w:r>
        <w:sym w:font="Symbol" w:char="F02D"/>
      </w:r>
      <w:r>
        <w:t xml:space="preserve"> отсутствует в реестрах </w:t>
      </w:r>
      <w:proofErr w:type="gramStart"/>
      <w:r>
        <w:t>недобросовестных поставщиков</w:t>
      </w:r>
      <w:proofErr w:type="gramEnd"/>
      <w:r>
        <w:t xml:space="preserve"> предусмотренных Федеральным законом от 18.07.2011 N 223-ФЗ "О закупках товаров, работ, услуг отдельными видами юридических лиц" 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934061" w:rsidRDefault="00015DD6">
      <w:r>
        <w:sym w:font="Symbol" w:char="F02D"/>
      </w:r>
      <w:r>
        <w:t xml:space="preserve"> 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либо обладает неисключительными правами на объекты интеллектуальной собственности, если в связи с исполнением договора Заказчик приобретает неисключительные права на объекты интеллектуальной собственности; </w:t>
      </w:r>
    </w:p>
    <w:p w:rsidR="00934061" w:rsidRDefault="00015DD6">
      <w:r>
        <w:sym w:font="Symbol" w:char="F02D"/>
      </w:r>
      <w:r>
        <w:t xml:space="preserve"> обладает правоспособностью (для юридических лиц); </w:t>
      </w:r>
    </w:p>
    <w:p w:rsidR="00934061" w:rsidRDefault="00015DD6">
      <w:r>
        <w:sym w:font="Symbol" w:char="F02D"/>
      </w:r>
      <w: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934061" w:rsidRDefault="00657D1B">
      <w:r>
        <w:t>- ч</w:t>
      </w:r>
      <w:r w:rsidRPr="00657D1B">
        <w:t xml:space="preserve">ленство </w:t>
      </w:r>
      <w:r>
        <w:t>участника</w:t>
      </w:r>
      <w:r w:rsidRPr="00657D1B">
        <w:t xml:space="preserve"> в зарегистрированной саморегулируемой организации (СРО). Уровень ответственности </w:t>
      </w:r>
      <w:r>
        <w:t>участника</w:t>
      </w:r>
      <w:r w:rsidRPr="00657D1B">
        <w:t xml:space="preserve"> как члена зарегистрированной саморегулируемой организации (СРО), должен соответствовать стоимости выполняемых работ.</w:t>
      </w:r>
      <w:r>
        <w:t xml:space="preserve"> </w:t>
      </w:r>
    </w:p>
    <w:p w:rsidR="00934061" w:rsidRPr="00EC5DC8" w:rsidRDefault="00015DD6">
      <w:pPr>
        <w:rPr>
          <w:b/>
          <w:u w:val="single"/>
        </w:rPr>
      </w:pPr>
      <w:r w:rsidRPr="00EC5DC8">
        <w:rPr>
          <w:b/>
          <w:u w:val="single"/>
        </w:rPr>
        <w:t xml:space="preserve">Участник закупки при подаче документов для участия в многоэтапном тендере обязан представить Заказчику следующую информацию и документы: </w:t>
      </w:r>
    </w:p>
    <w:p w:rsidR="00934061" w:rsidRDefault="00015DD6">
      <w:r>
        <w:sym w:font="Symbol" w:char="F02D"/>
      </w:r>
      <w:r>
        <w:t xml:space="preserve"> документ, подтверждающий полномочия лица на осуществление действий от имени участника размещения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закупки без доверенности. В случае, если от имени участника размещения закупки действует иное лицо, заявка на участие в многоэтапном тендере должна содержать также доверенность на осуществление действий от имени участника размещения закупки, заверенную печатью участника размещения закупки и подписанную руководителем участника размещения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w:t>
      </w:r>
      <w:r>
        <w:lastRenderedPageBreak/>
        <w:t xml:space="preserve">уполномоченным руководителем участника размещения закупки, заявка на участие в многоэтапном тендере должна содержать также документ, подтверждающий полномочия такого лица; </w:t>
      </w:r>
    </w:p>
    <w:p w:rsidR="00934061" w:rsidRDefault="00015DD6">
      <w:r>
        <w:sym w:font="Symbol" w:char="F02D"/>
      </w:r>
      <w:r>
        <w:t xml:space="preserve"> свидетельство о регистрации юридического лица; </w:t>
      </w:r>
    </w:p>
    <w:p w:rsidR="00934061" w:rsidRDefault="00015DD6">
      <w:r>
        <w:sym w:font="Symbol" w:char="F02D"/>
      </w:r>
      <w:r>
        <w:t xml:space="preserve"> свидетельство о постановке на налоговый учёт; </w:t>
      </w:r>
    </w:p>
    <w:p w:rsidR="00934061" w:rsidRDefault="00015DD6">
      <w:r>
        <w:sym w:font="Symbol" w:char="F02D"/>
      </w:r>
      <w:r>
        <w:t xml:space="preserve"> бухгалтерский баланс за последний отчетный период с отметкой налоговой о принятии; </w:t>
      </w:r>
    </w:p>
    <w:p w:rsidR="00934061" w:rsidRDefault="00015DD6">
      <w:r>
        <w:sym w:font="Symbol" w:char="F02D"/>
      </w:r>
      <w:r>
        <w:t xml:space="preserve"> отчёт о финансовых результатах за последний отчетный период с отметкой налоговой о принятии; </w:t>
      </w:r>
    </w:p>
    <w:p w:rsidR="00934061" w:rsidRDefault="00015DD6">
      <w:r>
        <w:sym w:font="Symbol" w:char="F02D"/>
      </w:r>
      <w:r>
        <w:t xml:space="preserve"> выписку из единого государственного реестра юридических лиц, выданную не ранее шести месяцев назад; </w:t>
      </w:r>
    </w:p>
    <w:p w:rsidR="00934061" w:rsidRDefault="00015DD6">
      <w:r>
        <w:sym w:font="Symbol" w:char="F02D"/>
      </w:r>
      <w:r>
        <w:t xml:space="preserve"> выписку из ЕГРИП, копия документа, удостоверяющего личность (для ИП); </w:t>
      </w:r>
    </w:p>
    <w:p w:rsidR="00934061" w:rsidRDefault="00015DD6">
      <w:r>
        <w:sym w:font="Symbol" w:char="F02D"/>
      </w:r>
      <w:r>
        <w:t xml:space="preserve"> Устав; </w:t>
      </w:r>
    </w:p>
    <w:p w:rsidR="00934061" w:rsidRDefault="00015DD6">
      <w:r>
        <w:sym w:font="Symbol" w:char="F02D"/>
      </w:r>
      <w:r>
        <w:t xml:space="preserve"> договор об учреждении (для ООО), договор о создании (для АО) Решение/Протокол об учреждении Общества (для АО, ООО); </w:t>
      </w:r>
    </w:p>
    <w:p w:rsidR="00934061" w:rsidRDefault="00015DD6">
      <w:r>
        <w:sym w:font="Symbol" w:char="F02D"/>
      </w:r>
      <w:r>
        <w:t xml:space="preserve"> уведомление о переходе на УСН (упрощённую систему налогообложения) с доказательствами его подачи в налоговый орган, либо выданную налоговым органом форму N 26.2-7; </w:t>
      </w:r>
    </w:p>
    <w:p w:rsidR="00934061" w:rsidRDefault="00015DD6">
      <w:r>
        <w:sym w:font="Symbol" w:char="F02D"/>
      </w:r>
      <w:r>
        <w:t xml:space="preserve"> налоговую декларацию по налогу, уплачиваемому в связи с применением УСН (при упрощённой системе налогообложения) на последнюю отчётную дату (с извещением/квитанцией о приеме налоговой декларации (расчета) налоговым органом); </w:t>
      </w:r>
    </w:p>
    <w:p w:rsidR="00934061" w:rsidRDefault="00015DD6">
      <w:r>
        <w:sym w:font="Symbol" w:char="F02D"/>
      </w:r>
      <w:r>
        <w:t xml:space="preserve"> предложение участника конкурентной закупки в отношении предмета такой закупки (Форма КП Приложение № 1)</w:t>
      </w:r>
      <w:r w:rsidR="000A7371">
        <w:t xml:space="preserve"> + сметный расчет</w:t>
      </w:r>
      <w:r>
        <w:t xml:space="preserve">; </w:t>
      </w:r>
    </w:p>
    <w:p w:rsidR="00934061" w:rsidRDefault="00015DD6">
      <w:r>
        <w:t>- разрешительную документацию на оказание услуг, выполнение работ в области строительно</w:t>
      </w:r>
      <w:r w:rsidR="00082194">
        <w:t>-</w:t>
      </w:r>
      <w:r>
        <w:t>монтажных работ (предоставить действующую информаци</w:t>
      </w:r>
      <w:r w:rsidR="00596E91">
        <w:t>ю, содержащую сведения о наличии</w:t>
      </w:r>
      <w:r>
        <w:t xml:space="preserve"> права участника закупки осуществлять строительство, реконструкцию, капитальный ремонт объектов капитального строительства по договорам строительного подряда в отношении объектов капитального строительства</w:t>
      </w:r>
      <w:r w:rsidR="0071400D">
        <w:t xml:space="preserve">. </w:t>
      </w:r>
      <w:r w:rsidR="0071400D" w:rsidRPr="0071400D">
        <w:t>Уровень ответственности Подрядчика (субподрядчиков), как члена зарегистрированной саморегулируемой организации (СРО), должен соответствова</w:t>
      </w:r>
      <w:r w:rsidR="0071400D">
        <w:t>ть стоимости выполняемых работ</w:t>
      </w:r>
      <w:r w:rsidR="00596E91">
        <w:t>. При отсутствии необходимого уровня СРО, предоставляется гарантийное письмо с обязательством открыть необходимый уровень СРО в течение 10 дней с момента объявления участника победителем</w:t>
      </w:r>
      <w:r>
        <w:t xml:space="preserve">; </w:t>
      </w:r>
    </w:p>
    <w:p w:rsidR="00934061" w:rsidRPr="006D3EB4" w:rsidRDefault="00015DD6">
      <w:r w:rsidRPr="006D3EB4">
        <w:sym w:font="Symbol" w:char="F02D"/>
      </w:r>
      <w:r w:rsidRPr="006D3EB4">
        <w:t xml:space="preserve"> календарный график производства работ по формам Приложени</w:t>
      </w:r>
      <w:r w:rsidR="00EB0738" w:rsidRPr="006D3EB4">
        <w:t>я №3 к Договору</w:t>
      </w:r>
    </w:p>
    <w:p w:rsidR="00934061" w:rsidRPr="006D3EB4" w:rsidRDefault="00015DD6">
      <w:r w:rsidRPr="006D3EB4">
        <w:sym w:font="Symbol" w:char="F02D"/>
      </w:r>
      <w:r w:rsidRPr="006D3EB4">
        <w:t xml:space="preserve"> подтверждение согласия с условиями проекта договора (Приложение № 2); </w:t>
      </w:r>
    </w:p>
    <w:p w:rsidR="00934061" w:rsidRPr="006D3EB4" w:rsidRDefault="00015DD6">
      <w:r w:rsidRPr="006D3EB4">
        <w:sym w:font="Symbol" w:char="F02D"/>
      </w:r>
      <w:r w:rsidRPr="006D3EB4">
        <w:t xml:space="preserve"> опись документов, составляющих заявку участника закупки с указанием имени файла электронной копии документа (Приложение № 3); </w:t>
      </w:r>
    </w:p>
    <w:p w:rsidR="000A7371" w:rsidRDefault="00015DD6">
      <w:r w:rsidRPr="006D3EB4">
        <w:sym w:font="Symbol" w:char="F02D"/>
      </w:r>
      <w:r w:rsidRPr="006D3EB4">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(карта контрагента - Приложение № 4);</w:t>
      </w:r>
      <w:r>
        <w:t xml:space="preserve"> </w:t>
      </w:r>
    </w:p>
    <w:p w:rsidR="000A7371" w:rsidRPr="006D3EB4" w:rsidRDefault="00015DD6">
      <w:r w:rsidRPr="006D3EB4">
        <w:sym w:font="Symbol" w:char="F02D"/>
      </w:r>
      <w:r w:rsidRPr="006D3EB4">
        <w:t xml:space="preserve"> референт-лист (Приложение № 5); </w:t>
      </w:r>
    </w:p>
    <w:p w:rsidR="000A7371" w:rsidRPr="006D3EB4" w:rsidRDefault="00015DD6">
      <w:r w:rsidRPr="006D3EB4">
        <w:lastRenderedPageBreak/>
        <w:sym w:font="Symbol" w:char="F02D"/>
      </w:r>
      <w:r w:rsidRPr="006D3EB4">
        <w:t xml:space="preserve"> декларацию о принадлежности/не принадлежности участника к категории субъекта малого и среднего предпринимательства (Приложение № 6); </w:t>
      </w:r>
    </w:p>
    <w:p w:rsidR="000A7371" w:rsidRPr="006D3EB4" w:rsidRDefault="00015DD6">
      <w:r w:rsidRPr="006D3EB4">
        <w:sym w:font="Symbol" w:char="F02D"/>
      </w:r>
      <w:r w:rsidRPr="006D3EB4">
        <w:t xml:space="preserve"> справка, подтверждающая отсутствие/действие введенных в отношении компании санкций (Приложение № 7); </w:t>
      </w:r>
    </w:p>
    <w:p w:rsidR="000A7371" w:rsidRDefault="00015DD6">
      <w:r w:rsidRPr="006D3EB4">
        <w:sym w:font="Symbol" w:char="F02D"/>
      </w:r>
      <w:r w:rsidRPr="006D3EB4">
        <w:t xml:space="preserve"> справка о трудовых ресурсах (Приложение № 8).</w:t>
      </w:r>
      <w:r>
        <w:t xml:space="preserve"> </w:t>
      </w:r>
    </w:p>
    <w:p w:rsidR="00657D1B" w:rsidRDefault="00657D1B">
      <w:r>
        <w:t xml:space="preserve">- </w:t>
      </w:r>
      <w:r w:rsidR="00B5756D" w:rsidRPr="00B5756D">
        <w:t>справка о материально-т</w:t>
      </w:r>
      <w:r w:rsidR="006450B8">
        <w:t>ехнической базе (Приложение № 9</w:t>
      </w:r>
      <w:r w:rsidR="00B5756D" w:rsidRPr="00B5756D">
        <w:t>).</w:t>
      </w:r>
    </w:p>
    <w:p w:rsidR="000A243B" w:rsidRDefault="00015DD6">
      <w:r>
        <w:t xml:space="preserve">Примечание: </w:t>
      </w:r>
      <w:r>
        <w:sym w:font="Symbol" w:char="F02D"/>
      </w:r>
      <w:r>
        <w:t xml:space="preserve"> Вышеуказанные приложения должны быть заполнены в соответствии с приложенными шаблонами, скрепленные печатью участника закупки (для юридического лица) (при наличии) и подписанные участником закупки или лицом, уполномоченным участником закупки, и представленные в виде скан-копии в формате PDF. В случае несоответствия, документ не будет принят к рассмотрению, т.е. признан не предоставленным. Участники, не предоставившие полный объём документов или не соответствующие установленным требованиям не допускаются до участия в закупочной процедуре</w:t>
      </w:r>
    </w:p>
    <w:p w:rsidR="000A7371" w:rsidRDefault="000A7371"/>
    <w:p w:rsidR="000A7371" w:rsidRDefault="00EC5DC8">
      <w:pPr>
        <w:rPr>
          <w:b/>
          <w:sz w:val="24"/>
          <w:szCs w:val="24"/>
          <w:u w:val="single"/>
        </w:rPr>
      </w:pPr>
      <w:r w:rsidRPr="00EC5DC8">
        <w:rPr>
          <w:b/>
          <w:sz w:val="24"/>
          <w:szCs w:val="24"/>
          <w:u w:val="single"/>
        </w:rPr>
        <w:t>Порядок оценки и сопоставления заявок на участие в многоэтапном тендере:</w:t>
      </w:r>
      <w:r w:rsidRPr="00EC5DC8">
        <w:rPr>
          <w:b/>
          <w:sz w:val="24"/>
          <w:szCs w:val="24"/>
          <w:u w:val="single"/>
        </w:rPr>
        <w:cr/>
      </w:r>
    </w:p>
    <w:p w:rsidR="00EC5DC8" w:rsidRPr="00EC5DC8" w:rsidRDefault="00EC5DC8" w:rsidP="00EC5DC8">
      <w:pPr>
        <w:pStyle w:val="a7"/>
        <w:tabs>
          <w:tab w:val="left" w:pos="0"/>
        </w:tabs>
        <w:rPr>
          <w:rFonts w:asciiTheme="minorHAnsi" w:hAnsiTheme="minorHAnsi" w:cstheme="minorHAnsi"/>
          <w:color w:val="auto"/>
          <w:sz w:val="22"/>
          <w:szCs w:val="22"/>
        </w:rPr>
      </w:pPr>
      <w:r w:rsidRPr="00EC5DC8">
        <w:rPr>
          <w:rFonts w:asciiTheme="minorHAnsi" w:hAnsiTheme="minorHAnsi" w:cstheme="minorHAnsi"/>
          <w:color w:val="auto"/>
          <w:sz w:val="22"/>
          <w:szCs w:val="22"/>
        </w:rPr>
        <w:t>Оценка заявок осуществляется с использованием следующих критериев:</w:t>
      </w:r>
    </w:p>
    <w:tbl>
      <w:tblPr>
        <w:tblStyle w:val="a6"/>
        <w:tblW w:w="0" w:type="auto"/>
        <w:tblLook w:val="0000" w:firstRow="0" w:lastRow="0" w:firstColumn="0" w:lastColumn="0" w:noHBand="0" w:noVBand="0"/>
      </w:tblPr>
      <w:tblGrid>
        <w:gridCol w:w="1042"/>
        <w:gridCol w:w="6075"/>
        <w:gridCol w:w="2228"/>
      </w:tblGrid>
      <w:tr w:rsidR="00EC5DC8" w:rsidRPr="00EC5DC8" w:rsidTr="006E4779">
        <w:trPr>
          <w:trHeight w:val="1"/>
        </w:trPr>
        <w:tc>
          <w:tcPr>
            <w:tcW w:w="1077" w:type="dxa"/>
          </w:tcPr>
          <w:p w:rsidR="00EC5DC8" w:rsidRPr="00EC5DC8" w:rsidRDefault="00EC5DC8" w:rsidP="006E4779">
            <w:pPr>
              <w:jc w:val="center"/>
              <w:rPr>
                <w:rFonts w:asciiTheme="minorHAnsi" w:hAnsiTheme="minorHAnsi" w:cstheme="minorHAnsi"/>
              </w:rPr>
            </w:pPr>
          </w:p>
          <w:p w:rsidR="00EC5DC8" w:rsidRPr="00EC5DC8" w:rsidRDefault="00EC5DC8" w:rsidP="006E4779">
            <w:pPr>
              <w:jc w:val="center"/>
              <w:rPr>
                <w:rFonts w:asciiTheme="minorHAnsi" w:hAnsiTheme="minorHAnsi" w:cstheme="minorHAnsi"/>
              </w:rPr>
            </w:pPr>
            <w:r w:rsidRPr="00EC5DC8">
              <w:rPr>
                <w:rFonts w:asciiTheme="minorHAnsi" w:hAnsiTheme="minorHAnsi" w:cstheme="minorHAnsi"/>
              </w:rPr>
              <w:t>п/п</w:t>
            </w:r>
          </w:p>
        </w:tc>
        <w:tc>
          <w:tcPr>
            <w:tcW w:w="6376" w:type="dxa"/>
          </w:tcPr>
          <w:p w:rsidR="00EC5DC8" w:rsidRPr="00EC5DC8" w:rsidRDefault="00EC5DC8" w:rsidP="006E4779">
            <w:pPr>
              <w:jc w:val="center"/>
              <w:rPr>
                <w:rFonts w:asciiTheme="minorHAnsi" w:hAnsiTheme="minorHAnsi" w:cstheme="minorHAnsi"/>
              </w:rPr>
            </w:pPr>
          </w:p>
          <w:p w:rsidR="00EC5DC8" w:rsidRPr="00EC5DC8" w:rsidRDefault="00EC5DC8" w:rsidP="006E4779">
            <w:pPr>
              <w:jc w:val="center"/>
              <w:rPr>
                <w:rFonts w:asciiTheme="minorHAnsi" w:hAnsiTheme="minorHAnsi" w:cstheme="minorHAnsi"/>
              </w:rPr>
            </w:pPr>
            <w:r w:rsidRPr="00EC5DC8">
              <w:rPr>
                <w:rFonts w:asciiTheme="minorHAnsi" w:hAnsiTheme="minorHAnsi" w:cstheme="minorHAnsi"/>
              </w:rPr>
              <w:t>Критерии оценки</w:t>
            </w:r>
          </w:p>
        </w:tc>
        <w:tc>
          <w:tcPr>
            <w:tcW w:w="2295" w:type="dxa"/>
          </w:tcPr>
          <w:p w:rsidR="00EC5DC8" w:rsidRPr="00EC5DC8" w:rsidRDefault="00EC5DC8" w:rsidP="006E4779">
            <w:pPr>
              <w:jc w:val="center"/>
              <w:rPr>
                <w:rFonts w:asciiTheme="minorHAnsi" w:hAnsiTheme="minorHAnsi" w:cstheme="minorHAnsi"/>
              </w:rPr>
            </w:pPr>
            <w:r w:rsidRPr="00EC5DC8">
              <w:rPr>
                <w:rFonts w:asciiTheme="minorHAnsi" w:hAnsiTheme="minorHAnsi" w:cstheme="minorHAnsi"/>
              </w:rPr>
              <w:t>Значимость</w:t>
            </w:r>
          </w:p>
          <w:p w:rsidR="00EC5DC8" w:rsidRPr="00EC5DC8" w:rsidRDefault="00EC5DC8" w:rsidP="006E4779">
            <w:pPr>
              <w:jc w:val="center"/>
              <w:rPr>
                <w:rFonts w:asciiTheme="minorHAnsi" w:hAnsiTheme="minorHAnsi" w:cstheme="minorHAnsi"/>
              </w:rPr>
            </w:pPr>
            <w:r w:rsidRPr="00EC5DC8">
              <w:rPr>
                <w:rFonts w:asciiTheme="minorHAnsi" w:hAnsiTheme="minorHAnsi" w:cstheme="minorHAnsi"/>
              </w:rPr>
              <w:t xml:space="preserve"> критерия</w:t>
            </w:r>
          </w:p>
          <w:p w:rsidR="00EC5DC8" w:rsidRPr="00EC5DC8" w:rsidRDefault="00EC5DC8" w:rsidP="006E4779">
            <w:pPr>
              <w:jc w:val="center"/>
              <w:rPr>
                <w:rFonts w:asciiTheme="minorHAnsi" w:hAnsiTheme="minorHAnsi" w:cstheme="minorHAnsi"/>
              </w:rPr>
            </w:pPr>
            <w:r w:rsidRPr="00EC5DC8">
              <w:rPr>
                <w:rFonts w:asciiTheme="minorHAnsi" w:hAnsiTheme="minorHAnsi" w:cstheme="minorHAnsi"/>
              </w:rPr>
              <w:t>(%)</w:t>
            </w:r>
          </w:p>
        </w:tc>
      </w:tr>
      <w:tr w:rsidR="00EC5DC8" w:rsidRPr="00EC5DC8" w:rsidTr="006E4779">
        <w:trPr>
          <w:trHeight w:val="1"/>
        </w:trPr>
        <w:tc>
          <w:tcPr>
            <w:tcW w:w="1077" w:type="dxa"/>
            <w:vMerge w:val="restart"/>
          </w:tcPr>
          <w:p w:rsidR="00EC5DC8" w:rsidRPr="00EC5DC8" w:rsidRDefault="00EC5DC8" w:rsidP="006E4779">
            <w:pPr>
              <w:jc w:val="center"/>
              <w:rPr>
                <w:rFonts w:asciiTheme="minorHAnsi" w:hAnsiTheme="minorHAnsi" w:cstheme="minorHAnsi"/>
              </w:rPr>
            </w:pPr>
            <w:r w:rsidRPr="00EC5DC8">
              <w:rPr>
                <w:rFonts w:asciiTheme="minorHAnsi" w:hAnsiTheme="minorHAnsi" w:cstheme="minorHAnsi"/>
              </w:rPr>
              <w:t>1.</w:t>
            </w:r>
          </w:p>
          <w:p w:rsidR="00EC5DC8" w:rsidRPr="00EC5DC8" w:rsidRDefault="00EC5DC8" w:rsidP="006E4779">
            <w:pPr>
              <w:jc w:val="center"/>
              <w:rPr>
                <w:rFonts w:asciiTheme="minorHAnsi" w:hAnsiTheme="minorHAnsi" w:cstheme="minorHAnsi"/>
              </w:rPr>
            </w:pPr>
          </w:p>
        </w:tc>
        <w:tc>
          <w:tcPr>
            <w:tcW w:w="6376" w:type="dxa"/>
          </w:tcPr>
          <w:p w:rsidR="00EC5DC8" w:rsidRPr="00EC5DC8" w:rsidRDefault="00EC5DC8" w:rsidP="006E4779">
            <w:pPr>
              <w:rPr>
                <w:rFonts w:asciiTheme="minorHAnsi" w:hAnsiTheme="minorHAnsi" w:cstheme="minorHAnsi"/>
                <w:b/>
              </w:rPr>
            </w:pPr>
            <w:r w:rsidRPr="00EC5DC8">
              <w:rPr>
                <w:rFonts w:asciiTheme="minorHAnsi" w:hAnsiTheme="minorHAnsi" w:cstheme="minorHAnsi"/>
                <w:b/>
              </w:rPr>
              <w:t>Цена договора</w:t>
            </w:r>
          </w:p>
        </w:tc>
        <w:tc>
          <w:tcPr>
            <w:tcW w:w="2295" w:type="dxa"/>
          </w:tcPr>
          <w:p w:rsidR="00EC5DC8" w:rsidRPr="00EC5DC8" w:rsidRDefault="00EC5DC8" w:rsidP="006E4779">
            <w:pPr>
              <w:jc w:val="center"/>
              <w:rPr>
                <w:rFonts w:asciiTheme="minorHAnsi" w:hAnsiTheme="minorHAnsi" w:cstheme="minorHAnsi"/>
                <w:b/>
              </w:rPr>
            </w:pPr>
            <w:r w:rsidRPr="00EC5DC8">
              <w:rPr>
                <w:rFonts w:asciiTheme="minorHAnsi" w:hAnsiTheme="minorHAnsi" w:cstheme="minorHAnsi"/>
                <w:b/>
              </w:rPr>
              <w:t>80%</w:t>
            </w:r>
          </w:p>
        </w:tc>
      </w:tr>
      <w:tr w:rsidR="00EC5DC8" w:rsidRPr="00EC5DC8" w:rsidTr="006E4779">
        <w:trPr>
          <w:trHeight w:val="1"/>
        </w:trPr>
        <w:tc>
          <w:tcPr>
            <w:tcW w:w="1077" w:type="dxa"/>
            <w:vMerge/>
          </w:tcPr>
          <w:p w:rsidR="00EC5DC8" w:rsidRPr="00EC5DC8" w:rsidRDefault="00EC5DC8" w:rsidP="006E4779">
            <w:pPr>
              <w:jc w:val="center"/>
              <w:rPr>
                <w:rFonts w:asciiTheme="minorHAnsi" w:hAnsiTheme="minorHAnsi" w:cstheme="minorHAnsi"/>
              </w:rPr>
            </w:pPr>
          </w:p>
        </w:tc>
        <w:tc>
          <w:tcPr>
            <w:tcW w:w="6376" w:type="dxa"/>
          </w:tcPr>
          <w:p w:rsidR="00EC5DC8" w:rsidRPr="00EC5DC8" w:rsidRDefault="00EC5DC8" w:rsidP="006E4779">
            <w:pPr>
              <w:rPr>
                <w:rFonts w:asciiTheme="minorHAnsi" w:hAnsiTheme="minorHAnsi" w:cstheme="minorHAnsi"/>
              </w:rPr>
            </w:pPr>
            <w:r w:rsidRPr="00EC5DC8">
              <w:rPr>
                <w:rFonts w:asciiTheme="minorHAnsi" w:hAnsiTheme="minorHAnsi" w:cstheme="minorHAnsi"/>
              </w:rPr>
              <w:t>коэффициент значимости</w:t>
            </w:r>
          </w:p>
        </w:tc>
        <w:tc>
          <w:tcPr>
            <w:tcW w:w="2295" w:type="dxa"/>
          </w:tcPr>
          <w:p w:rsidR="00EC5DC8" w:rsidRPr="00EC5DC8" w:rsidRDefault="00EC5DC8" w:rsidP="006E4779">
            <w:pPr>
              <w:jc w:val="center"/>
              <w:rPr>
                <w:rFonts w:asciiTheme="minorHAnsi" w:hAnsiTheme="minorHAnsi" w:cstheme="minorHAnsi"/>
              </w:rPr>
            </w:pPr>
            <w:r w:rsidRPr="00EC5DC8">
              <w:rPr>
                <w:rFonts w:asciiTheme="minorHAnsi" w:hAnsiTheme="minorHAnsi" w:cstheme="minorHAnsi"/>
              </w:rPr>
              <w:t>0,80</w:t>
            </w:r>
          </w:p>
        </w:tc>
      </w:tr>
      <w:tr w:rsidR="00EC5DC8" w:rsidRPr="00EC5DC8" w:rsidTr="006E4779">
        <w:trPr>
          <w:trHeight w:val="1"/>
        </w:trPr>
        <w:tc>
          <w:tcPr>
            <w:tcW w:w="1077" w:type="dxa"/>
            <w:vMerge w:val="restart"/>
          </w:tcPr>
          <w:p w:rsidR="00EC5DC8" w:rsidRPr="00EC5DC8" w:rsidRDefault="00EC5DC8" w:rsidP="006E4779">
            <w:pPr>
              <w:jc w:val="center"/>
              <w:rPr>
                <w:rFonts w:asciiTheme="minorHAnsi" w:hAnsiTheme="minorHAnsi" w:cstheme="minorHAnsi"/>
              </w:rPr>
            </w:pPr>
            <w:r w:rsidRPr="00EC5DC8">
              <w:rPr>
                <w:rFonts w:asciiTheme="minorHAnsi" w:hAnsiTheme="minorHAnsi" w:cstheme="minorHAnsi"/>
              </w:rPr>
              <w:t>2.</w:t>
            </w:r>
          </w:p>
        </w:tc>
        <w:tc>
          <w:tcPr>
            <w:tcW w:w="6376" w:type="dxa"/>
          </w:tcPr>
          <w:p w:rsidR="00EC5DC8" w:rsidRPr="00EC5DC8" w:rsidRDefault="00EC5DC8" w:rsidP="006E4779">
            <w:pPr>
              <w:rPr>
                <w:rFonts w:asciiTheme="minorHAnsi" w:hAnsiTheme="minorHAnsi" w:cstheme="minorHAnsi"/>
              </w:rPr>
            </w:pPr>
            <w:r w:rsidRPr="00EC5DC8">
              <w:rPr>
                <w:rFonts w:asciiTheme="minorHAnsi" w:hAnsiTheme="minorHAnsi" w:cstheme="minorHAnsi"/>
                <w:b/>
              </w:rPr>
              <w:t>Качество работ и квалификация участника</w:t>
            </w:r>
          </w:p>
        </w:tc>
        <w:tc>
          <w:tcPr>
            <w:tcW w:w="2295" w:type="dxa"/>
          </w:tcPr>
          <w:p w:rsidR="00EC5DC8" w:rsidRPr="00EC5DC8" w:rsidRDefault="00EC5DC8" w:rsidP="006E4779">
            <w:pPr>
              <w:jc w:val="center"/>
              <w:rPr>
                <w:rFonts w:asciiTheme="minorHAnsi" w:hAnsiTheme="minorHAnsi" w:cstheme="minorHAnsi"/>
              </w:rPr>
            </w:pPr>
            <w:r w:rsidRPr="00EC5DC8">
              <w:rPr>
                <w:rFonts w:asciiTheme="minorHAnsi" w:hAnsiTheme="minorHAnsi" w:cstheme="minorHAnsi"/>
                <w:b/>
              </w:rPr>
              <w:t>20%</w:t>
            </w:r>
          </w:p>
        </w:tc>
      </w:tr>
      <w:tr w:rsidR="00EC5DC8" w:rsidRPr="00EC5DC8" w:rsidTr="006E4779">
        <w:trPr>
          <w:trHeight w:val="1"/>
        </w:trPr>
        <w:tc>
          <w:tcPr>
            <w:tcW w:w="1077" w:type="dxa"/>
            <w:vMerge/>
          </w:tcPr>
          <w:p w:rsidR="00EC5DC8" w:rsidRPr="00EC5DC8" w:rsidRDefault="00EC5DC8" w:rsidP="006E4779">
            <w:pPr>
              <w:jc w:val="both"/>
              <w:rPr>
                <w:rFonts w:asciiTheme="minorHAnsi" w:eastAsia="Calibri" w:hAnsiTheme="minorHAnsi" w:cstheme="minorHAnsi"/>
              </w:rPr>
            </w:pPr>
          </w:p>
        </w:tc>
        <w:tc>
          <w:tcPr>
            <w:tcW w:w="6376" w:type="dxa"/>
          </w:tcPr>
          <w:p w:rsidR="00EC5DC8" w:rsidRPr="00EC5DC8" w:rsidRDefault="00EC5DC8" w:rsidP="006E4779">
            <w:pPr>
              <w:rPr>
                <w:rFonts w:asciiTheme="minorHAnsi" w:hAnsiTheme="minorHAnsi" w:cstheme="minorHAnsi"/>
              </w:rPr>
            </w:pPr>
            <w:r w:rsidRPr="00EC5DC8">
              <w:rPr>
                <w:rFonts w:asciiTheme="minorHAnsi" w:hAnsiTheme="minorHAnsi" w:cstheme="minorHAnsi"/>
              </w:rPr>
              <w:t>коэффициент значимости</w:t>
            </w:r>
          </w:p>
        </w:tc>
        <w:tc>
          <w:tcPr>
            <w:tcW w:w="2295" w:type="dxa"/>
          </w:tcPr>
          <w:p w:rsidR="00EC5DC8" w:rsidRPr="00EC5DC8" w:rsidRDefault="00EC5DC8" w:rsidP="006E4779">
            <w:pPr>
              <w:jc w:val="center"/>
              <w:rPr>
                <w:rFonts w:asciiTheme="minorHAnsi" w:hAnsiTheme="minorHAnsi" w:cstheme="minorHAnsi"/>
              </w:rPr>
            </w:pPr>
            <w:r w:rsidRPr="00EC5DC8">
              <w:rPr>
                <w:rFonts w:asciiTheme="minorHAnsi" w:hAnsiTheme="minorHAnsi" w:cstheme="minorHAnsi"/>
              </w:rPr>
              <w:t>0,20</w:t>
            </w:r>
          </w:p>
        </w:tc>
      </w:tr>
    </w:tbl>
    <w:p w:rsidR="00EC5DC8" w:rsidRPr="00EC5DC8" w:rsidRDefault="00EC5DC8" w:rsidP="00EC5DC8">
      <w:pPr>
        <w:pStyle w:val="a4"/>
        <w:numPr>
          <w:ilvl w:val="0"/>
          <w:numId w:val="1"/>
        </w:numPr>
        <w:spacing w:before="120"/>
        <w:ind w:left="284" w:hanging="284"/>
        <w:jc w:val="both"/>
        <w:rPr>
          <w:rFonts w:asciiTheme="minorHAnsi" w:hAnsiTheme="minorHAnsi" w:cstheme="minorHAnsi"/>
          <w:b/>
        </w:rPr>
      </w:pPr>
      <w:r w:rsidRPr="00EC5DC8">
        <w:rPr>
          <w:rFonts w:asciiTheme="minorHAnsi" w:hAnsiTheme="minorHAnsi" w:cstheme="minorHAnsi"/>
          <w:b/>
        </w:rPr>
        <w:t>Цена договора</w:t>
      </w:r>
    </w:p>
    <w:p w:rsidR="00EC5DC8" w:rsidRPr="00B805FC" w:rsidRDefault="00EC5DC8" w:rsidP="00EC5DC8">
      <w:pPr>
        <w:pStyle w:val="a4"/>
        <w:spacing w:before="120"/>
        <w:ind w:left="284"/>
        <w:jc w:val="both"/>
        <w:rPr>
          <w:b/>
        </w:rPr>
      </w:pPr>
    </w:p>
    <w:p w:rsidR="00EC5DC8" w:rsidRPr="00B805FC" w:rsidRDefault="00EC5DC8" w:rsidP="00EC5DC8">
      <w:pPr>
        <w:jc w:val="both"/>
      </w:pPr>
      <w:r w:rsidRPr="00B805FC">
        <w:t>Наилучшим предложением признаётся цена с меньшей стоимостью предложения, данной цене присваивается порядковый № 1. Наилучшее предложение с порядковым № 1 оценивается в 100 баллов. Баллы по менее выгодным ценовым предложениям рассчитываются пропорционально, в зависимости от разницы цен по сравнению с лучшим предложением:</w:t>
      </w:r>
    </w:p>
    <w:p w:rsidR="00EC5DC8" w:rsidRPr="00B805FC" w:rsidRDefault="00EC5DC8" w:rsidP="00EC5DC8">
      <w:pPr>
        <w:jc w:val="both"/>
        <w:rPr>
          <w:b/>
        </w:rPr>
      </w:pPr>
      <w:r w:rsidRPr="00B805FC">
        <w:t>Рейтинг, присуждаемый заявке по критерию «цена договора» определяется по формуле:</w:t>
      </w:r>
    </w:p>
    <w:p w:rsidR="00EC5DC8" w:rsidRPr="00B805FC" w:rsidRDefault="00EC5DC8" w:rsidP="00EC5DC8">
      <w:pPr>
        <w:jc w:val="center"/>
      </w:pPr>
      <w:r w:rsidRPr="00B805FC">
        <w:rPr>
          <w:position w:val="-34"/>
        </w:rPr>
        <w:object w:dxaOrig="17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8.25pt" o:ole="">
            <v:imagedata r:id="rId5" o:title=""/>
          </v:shape>
          <o:OLEObject Type="Embed" ProgID="Equation.3" ShapeID="_x0000_i1025" DrawAspect="Content" ObjectID="_1763374398" r:id="rId6"/>
        </w:object>
      </w:r>
    </w:p>
    <w:p w:rsidR="00EC5DC8" w:rsidRPr="00EC5DC8" w:rsidRDefault="00EC5DC8" w:rsidP="00EC5DC8">
      <w:pPr>
        <w:pStyle w:val="s04"/>
        <w:numPr>
          <w:ilvl w:val="3"/>
          <w:numId w:val="0"/>
        </w:numPr>
        <w:tabs>
          <w:tab w:val="num" w:pos="1420"/>
        </w:tabs>
        <w:spacing w:before="0"/>
        <w:rPr>
          <w:rFonts w:asciiTheme="minorHAnsi" w:hAnsiTheme="minorHAnsi" w:cstheme="minorHAnsi"/>
          <w:sz w:val="22"/>
          <w:szCs w:val="22"/>
        </w:rPr>
      </w:pPr>
      <w:r w:rsidRPr="00EC5DC8">
        <w:rPr>
          <w:rFonts w:asciiTheme="minorHAnsi" w:hAnsiTheme="minorHAnsi" w:cstheme="minorHAnsi"/>
          <w:sz w:val="22"/>
          <w:szCs w:val="22"/>
        </w:rPr>
        <w:t>где:</w:t>
      </w:r>
    </w:p>
    <w:p w:rsidR="00EC5DC8" w:rsidRPr="00EC5DC8" w:rsidRDefault="00EC5DC8" w:rsidP="00EC5DC8">
      <w:pPr>
        <w:pStyle w:val="s04"/>
        <w:numPr>
          <w:ilvl w:val="3"/>
          <w:numId w:val="0"/>
        </w:numPr>
        <w:tabs>
          <w:tab w:val="num" w:pos="1420"/>
        </w:tabs>
        <w:spacing w:before="0"/>
        <w:rPr>
          <w:rFonts w:asciiTheme="minorHAnsi" w:hAnsiTheme="minorHAnsi" w:cstheme="minorHAnsi"/>
          <w:sz w:val="22"/>
          <w:szCs w:val="22"/>
        </w:rPr>
      </w:pPr>
      <w:r w:rsidRPr="00EC5DC8">
        <w:rPr>
          <w:rFonts w:asciiTheme="minorHAnsi" w:hAnsiTheme="minorHAnsi" w:cstheme="minorHAnsi"/>
          <w:position w:val="-10"/>
          <w:sz w:val="22"/>
          <w:szCs w:val="22"/>
        </w:rPr>
        <w:object w:dxaOrig="420" w:dyaOrig="320">
          <v:shape id="_x0000_i1026" type="#_x0000_t75" style="width:21pt;height:15.75pt" o:ole="">
            <v:imagedata r:id="rId7" o:title=""/>
          </v:shape>
          <o:OLEObject Type="Embed" ProgID="Equation.3" ShapeID="_x0000_i1026" DrawAspect="Content" ObjectID="_1763374399" r:id="rId8"/>
        </w:object>
      </w:r>
      <w:r w:rsidRPr="00EC5DC8">
        <w:rPr>
          <w:rFonts w:asciiTheme="minorHAnsi" w:hAnsiTheme="minorHAnsi" w:cstheme="minorHAnsi"/>
          <w:i/>
          <w:sz w:val="22"/>
          <w:szCs w:val="22"/>
        </w:rPr>
        <w:t xml:space="preserve"> </w:t>
      </w:r>
      <w:r w:rsidRPr="00EC5DC8">
        <w:rPr>
          <w:rFonts w:asciiTheme="minorHAnsi" w:hAnsiTheme="minorHAnsi" w:cstheme="minorHAnsi"/>
          <w:sz w:val="22"/>
          <w:szCs w:val="22"/>
        </w:rPr>
        <w:t xml:space="preserve">– балл предложения № </w:t>
      </w:r>
      <w:proofErr w:type="spellStart"/>
      <w:r w:rsidRPr="00EC5DC8">
        <w:rPr>
          <w:rFonts w:asciiTheme="minorHAnsi" w:hAnsiTheme="minorHAnsi" w:cstheme="minorHAnsi"/>
          <w:i/>
          <w:sz w:val="22"/>
          <w:szCs w:val="22"/>
          <w:lang w:val="en-US"/>
        </w:rPr>
        <w:t>i</w:t>
      </w:r>
      <w:proofErr w:type="spellEnd"/>
      <w:r w:rsidRPr="00EC5DC8">
        <w:rPr>
          <w:rFonts w:asciiTheme="minorHAnsi" w:hAnsiTheme="minorHAnsi" w:cstheme="minorHAnsi"/>
          <w:i/>
          <w:sz w:val="22"/>
          <w:szCs w:val="22"/>
        </w:rPr>
        <w:t>;</w:t>
      </w:r>
    </w:p>
    <w:p w:rsidR="00EC5DC8" w:rsidRPr="00EC5DC8" w:rsidRDefault="00EC5DC8" w:rsidP="00EC5DC8">
      <w:pPr>
        <w:pStyle w:val="s04"/>
        <w:numPr>
          <w:ilvl w:val="3"/>
          <w:numId w:val="0"/>
        </w:numPr>
        <w:tabs>
          <w:tab w:val="num" w:pos="1420"/>
        </w:tabs>
        <w:spacing w:before="0"/>
        <w:rPr>
          <w:rFonts w:asciiTheme="minorHAnsi" w:hAnsiTheme="minorHAnsi" w:cstheme="minorHAnsi"/>
          <w:sz w:val="22"/>
          <w:szCs w:val="22"/>
        </w:rPr>
      </w:pPr>
      <w:r w:rsidRPr="00EC5DC8">
        <w:rPr>
          <w:rFonts w:asciiTheme="minorHAnsi" w:hAnsiTheme="minorHAnsi" w:cstheme="minorHAnsi"/>
          <w:position w:val="-14"/>
          <w:sz w:val="22"/>
          <w:szCs w:val="22"/>
        </w:rPr>
        <w:object w:dxaOrig="520" w:dyaOrig="380">
          <v:shape id="_x0000_i1027" type="#_x0000_t75" style="width:24.75pt;height:18.75pt" o:ole="">
            <v:imagedata r:id="rId9" o:title=""/>
          </v:shape>
          <o:OLEObject Type="Embed" ProgID="Equation.3" ShapeID="_x0000_i1027" DrawAspect="Content" ObjectID="_1763374400" r:id="rId10"/>
        </w:object>
      </w:r>
      <w:r w:rsidRPr="00EC5DC8">
        <w:rPr>
          <w:rFonts w:asciiTheme="minorHAnsi" w:hAnsiTheme="minorHAnsi" w:cstheme="minorHAnsi"/>
          <w:sz w:val="22"/>
          <w:szCs w:val="22"/>
        </w:rPr>
        <w:t xml:space="preserve"> – цена предложения № 1 (лучшего предложения по цене);</w:t>
      </w:r>
    </w:p>
    <w:p w:rsidR="00EC5DC8" w:rsidRPr="00EC5DC8" w:rsidRDefault="00EC5DC8" w:rsidP="00EC5DC8">
      <w:pPr>
        <w:pStyle w:val="s04"/>
        <w:numPr>
          <w:ilvl w:val="3"/>
          <w:numId w:val="0"/>
        </w:numPr>
        <w:tabs>
          <w:tab w:val="num" w:pos="1420"/>
        </w:tabs>
        <w:spacing w:before="0"/>
        <w:rPr>
          <w:rFonts w:asciiTheme="minorHAnsi" w:hAnsiTheme="minorHAnsi" w:cstheme="minorHAnsi"/>
          <w:sz w:val="22"/>
          <w:szCs w:val="22"/>
        </w:rPr>
      </w:pPr>
      <w:r w:rsidRPr="00EC5DC8">
        <w:rPr>
          <w:rFonts w:asciiTheme="minorHAnsi" w:hAnsiTheme="minorHAnsi" w:cstheme="minorHAnsi"/>
          <w:position w:val="-16"/>
          <w:sz w:val="22"/>
          <w:szCs w:val="22"/>
        </w:rPr>
        <w:object w:dxaOrig="499" w:dyaOrig="400">
          <v:shape id="_x0000_i1028" type="#_x0000_t75" style="width:24.75pt;height:21pt" o:ole="">
            <v:imagedata r:id="rId11" o:title=""/>
          </v:shape>
          <o:OLEObject Type="Embed" ProgID="Equation.3" ShapeID="_x0000_i1028" DrawAspect="Content" ObjectID="_1763374401" r:id="rId12"/>
        </w:object>
      </w:r>
      <w:r w:rsidRPr="00EC5DC8">
        <w:rPr>
          <w:rFonts w:asciiTheme="minorHAnsi" w:hAnsiTheme="minorHAnsi" w:cstheme="minorHAnsi"/>
          <w:sz w:val="22"/>
          <w:szCs w:val="22"/>
        </w:rPr>
        <w:t xml:space="preserve"> – цена предложения № </w:t>
      </w:r>
      <w:proofErr w:type="spellStart"/>
      <w:r w:rsidRPr="00EC5DC8">
        <w:rPr>
          <w:rFonts w:asciiTheme="minorHAnsi" w:hAnsiTheme="minorHAnsi" w:cstheme="minorHAnsi"/>
          <w:i/>
          <w:sz w:val="22"/>
          <w:szCs w:val="22"/>
          <w:lang w:val="en-US"/>
        </w:rPr>
        <w:t>i</w:t>
      </w:r>
      <w:proofErr w:type="spellEnd"/>
      <w:r w:rsidRPr="00EC5DC8">
        <w:rPr>
          <w:rFonts w:asciiTheme="minorHAnsi" w:hAnsiTheme="minorHAnsi" w:cstheme="minorHAnsi"/>
          <w:i/>
          <w:sz w:val="22"/>
          <w:szCs w:val="22"/>
        </w:rPr>
        <w:t>;</w:t>
      </w:r>
    </w:p>
    <w:p w:rsidR="00EC5DC8" w:rsidRPr="00EC5DC8" w:rsidRDefault="00EC5DC8" w:rsidP="00EC5DC8">
      <w:pPr>
        <w:pStyle w:val="s04"/>
        <w:numPr>
          <w:ilvl w:val="3"/>
          <w:numId w:val="0"/>
        </w:numPr>
        <w:tabs>
          <w:tab w:val="num" w:pos="1420"/>
        </w:tabs>
        <w:spacing w:before="0"/>
        <w:rPr>
          <w:rFonts w:asciiTheme="minorHAnsi" w:hAnsiTheme="minorHAnsi" w:cstheme="minorHAnsi"/>
          <w:sz w:val="22"/>
          <w:szCs w:val="22"/>
        </w:rPr>
      </w:pPr>
      <w:r w:rsidRPr="00EC5DC8">
        <w:rPr>
          <w:rFonts w:asciiTheme="minorHAnsi" w:hAnsiTheme="minorHAnsi" w:cstheme="minorHAnsi"/>
          <w:sz w:val="22"/>
          <w:szCs w:val="22"/>
        </w:rPr>
        <w:t>100 – максимальный балл для лучшей цены.</w:t>
      </w:r>
    </w:p>
    <w:p w:rsidR="00EC5DC8" w:rsidRPr="00EC5DC8" w:rsidRDefault="00EC5DC8" w:rsidP="00EC5DC8">
      <w:pPr>
        <w:pStyle w:val="s04"/>
        <w:numPr>
          <w:ilvl w:val="3"/>
          <w:numId w:val="0"/>
        </w:numPr>
        <w:tabs>
          <w:tab w:val="num" w:pos="1420"/>
        </w:tabs>
        <w:spacing w:before="0"/>
        <w:rPr>
          <w:rFonts w:asciiTheme="minorHAnsi" w:hAnsiTheme="minorHAnsi" w:cstheme="minorHAnsi"/>
          <w:sz w:val="22"/>
          <w:szCs w:val="22"/>
        </w:rPr>
      </w:pPr>
    </w:p>
    <w:p w:rsidR="00EC5DC8" w:rsidRPr="00EC5DC8" w:rsidRDefault="00EC5DC8" w:rsidP="00EC5DC8">
      <w:pPr>
        <w:pStyle w:val="s04"/>
        <w:numPr>
          <w:ilvl w:val="3"/>
          <w:numId w:val="0"/>
        </w:numPr>
        <w:tabs>
          <w:tab w:val="num" w:pos="1420"/>
        </w:tabs>
        <w:spacing w:before="0"/>
        <w:rPr>
          <w:rFonts w:asciiTheme="minorHAnsi" w:hAnsiTheme="minorHAnsi" w:cstheme="minorHAnsi"/>
          <w:sz w:val="22"/>
          <w:szCs w:val="22"/>
        </w:rPr>
      </w:pPr>
      <w:r w:rsidRPr="00EC5DC8">
        <w:rPr>
          <w:rFonts w:asciiTheme="minorHAnsi" w:hAnsiTheme="minorHAnsi" w:cstheme="minorHAnsi"/>
          <w:sz w:val="22"/>
          <w:szCs w:val="22"/>
        </w:rPr>
        <w:t>Оценка и сопоставление заявок будет осуществляться в соответствии с полученными ценовыми предложениями участников без НДС.</w:t>
      </w:r>
    </w:p>
    <w:p w:rsidR="00EC5DC8" w:rsidRDefault="00EC5DC8" w:rsidP="00EC5DC8">
      <w:pPr>
        <w:pStyle w:val="s04"/>
        <w:numPr>
          <w:ilvl w:val="3"/>
          <w:numId w:val="0"/>
        </w:numPr>
        <w:tabs>
          <w:tab w:val="num" w:pos="1420"/>
        </w:tabs>
        <w:spacing w:before="0"/>
        <w:rPr>
          <w:szCs w:val="24"/>
        </w:rPr>
      </w:pPr>
    </w:p>
    <w:p w:rsidR="00EC5DC8" w:rsidRPr="00B805FC" w:rsidRDefault="00EC5DC8" w:rsidP="00EC5DC8">
      <w:pPr>
        <w:pStyle w:val="s04"/>
        <w:numPr>
          <w:ilvl w:val="3"/>
          <w:numId w:val="0"/>
        </w:numPr>
        <w:tabs>
          <w:tab w:val="num" w:pos="1420"/>
        </w:tabs>
        <w:spacing w:before="0"/>
        <w:rPr>
          <w:szCs w:val="24"/>
        </w:rPr>
      </w:pPr>
    </w:p>
    <w:p w:rsidR="00EC5DC8" w:rsidRPr="00EC5DC8" w:rsidRDefault="00EC5DC8" w:rsidP="00EC5DC8">
      <w:pPr>
        <w:pStyle w:val="s04"/>
        <w:numPr>
          <w:ilvl w:val="0"/>
          <w:numId w:val="1"/>
        </w:numPr>
        <w:ind w:left="284" w:hanging="284"/>
        <w:rPr>
          <w:rFonts w:asciiTheme="minorHAnsi" w:hAnsiTheme="minorHAnsi" w:cstheme="minorHAnsi"/>
          <w:b/>
        </w:rPr>
      </w:pPr>
      <w:r w:rsidRPr="00EC5DC8">
        <w:rPr>
          <w:rFonts w:asciiTheme="minorHAnsi" w:hAnsiTheme="minorHAnsi" w:cstheme="minorHAnsi"/>
          <w:b/>
        </w:rPr>
        <w:lastRenderedPageBreak/>
        <w:t>Качество работ и квалификация участника</w:t>
      </w:r>
    </w:p>
    <w:p w:rsidR="00EC5DC8" w:rsidRDefault="00EC5DC8" w:rsidP="00EC5DC8">
      <w:pPr>
        <w:tabs>
          <w:tab w:val="left" w:pos="2580"/>
        </w:tabs>
        <w:spacing w:before="120"/>
        <w:jc w:val="both"/>
      </w:pPr>
      <w:r w:rsidRPr="00B805FC">
        <w:t>Для оценки заявок по данному критерию каждой заявке выставляется значение от 0 до 100 баллов. Сумма максимальных значений всех показателей этого критерия составляет 100 баллов.</w:t>
      </w:r>
    </w:p>
    <w:p w:rsidR="00EC5DC8" w:rsidRPr="00156F86" w:rsidRDefault="00EC5DC8" w:rsidP="009C3146">
      <w:pPr>
        <w:tabs>
          <w:tab w:val="left" w:pos="2580"/>
        </w:tabs>
        <w:spacing w:before="120"/>
      </w:pPr>
      <w:r w:rsidRPr="00156F86">
        <w:t>Содержание указанного критерия включает в себя следующий перечень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3"/>
        <w:gridCol w:w="6007"/>
        <w:gridCol w:w="2005"/>
      </w:tblGrid>
      <w:tr w:rsidR="00EC5DC8" w:rsidRPr="00156F86" w:rsidTr="006E4779">
        <w:trPr>
          <w:trHeight w:val="835"/>
        </w:trPr>
        <w:tc>
          <w:tcPr>
            <w:tcW w:w="713" w:type="pct"/>
            <w:vAlign w:val="center"/>
          </w:tcPr>
          <w:p w:rsidR="00EC5DC8" w:rsidRPr="00156F86" w:rsidRDefault="00EC5DC8" w:rsidP="006E4779">
            <w:pPr>
              <w:spacing w:line="240" w:lineRule="exact"/>
              <w:jc w:val="center"/>
            </w:pPr>
            <w:r w:rsidRPr="00156F86">
              <w:t xml:space="preserve">№ </w:t>
            </w:r>
          </w:p>
          <w:p w:rsidR="00EC5DC8" w:rsidRPr="00156F86" w:rsidRDefault="00EC5DC8" w:rsidP="006E4779">
            <w:pPr>
              <w:spacing w:line="240" w:lineRule="exact"/>
              <w:jc w:val="center"/>
            </w:pPr>
            <w:r w:rsidRPr="00156F86">
              <w:t>показателя</w:t>
            </w:r>
          </w:p>
        </w:tc>
        <w:tc>
          <w:tcPr>
            <w:tcW w:w="3214" w:type="pct"/>
            <w:vAlign w:val="center"/>
          </w:tcPr>
          <w:p w:rsidR="00EC5DC8" w:rsidRPr="00156F86" w:rsidRDefault="00EC5DC8" w:rsidP="006E4779">
            <w:pPr>
              <w:spacing w:line="240" w:lineRule="exact"/>
              <w:jc w:val="center"/>
            </w:pPr>
            <w:r w:rsidRPr="00156F86">
              <w:t>Наименование показателя</w:t>
            </w:r>
          </w:p>
        </w:tc>
        <w:tc>
          <w:tcPr>
            <w:tcW w:w="1073" w:type="pct"/>
            <w:vAlign w:val="center"/>
          </w:tcPr>
          <w:p w:rsidR="00EC5DC8" w:rsidRPr="00156F86" w:rsidRDefault="00EC5DC8" w:rsidP="006E4779">
            <w:pPr>
              <w:spacing w:line="240" w:lineRule="exact"/>
              <w:jc w:val="center"/>
            </w:pPr>
            <w:r w:rsidRPr="00156F86">
              <w:t xml:space="preserve">Максимальное </w:t>
            </w:r>
          </w:p>
          <w:p w:rsidR="00EC5DC8" w:rsidRPr="00156F86" w:rsidRDefault="00EC5DC8" w:rsidP="006E4779">
            <w:pPr>
              <w:spacing w:line="240" w:lineRule="exact"/>
              <w:jc w:val="center"/>
            </w:pPr>
            <w:r w:rsidRPr="00156F86">
              <w:t>значение в баллах для показателя</w:t>
            </w:r>
          </w:p>
        </w:tc>
      </w:tr>
      <w:tr w:rsidR="00EC5DC8" w:rsidRPr="00156F86" w:rsidTr="006E4779">
        <w:trPr>
          <w:trHeight w:val="57"/>
        </w:trPr>
        <w:tc>
          <w:tcPr>
            <w:tcW w:w="713" w:type="pct"/>
            <w:vAlign w:val="center"/>
          </w:tcPr>
          <w:p w:rsidR="00EC5DC8" w:rsidRPr="00156F86" w:rsidRDefault="00EC5DC8" w:rsidP="006E4779">
            <w:pPr>
              <w:spacing w:line="240" w:lineRule="exact"/>
              <w:jc w:val="center"/>
            </w:pPr>
            <w:r w:rsidRPr="00156F86">
              <w:t>1</w:t>
            </w:r>
          </w:p>
        </w:tc>
        <w:tc>
          <w:tcPr>
            <w:tcW w:w="3214" w:type="pct"/>
            <w:vAlign w:val="center"/>
          </w:tcPr>
          <w:p w:rsidR="00EC5DC8" w:rsidRPr="00156F86" w:rsidRDefault="00EC5DC8" w:rsidP="006E4779">
            <w:pPr>
              <w:spacing w:line="240" w:lineRule="exact"/>
              <w:jc w:val="center"/>
            </w:pPr>
            <w:r w:rsidRPr="00156F86">
              <w:t>2</w:t>
            </w:r>
          </w:p>
        </w:tc>
        <w:tc>
          <w:tcPr>
            <w:tcW w:w="1073" w:type="pct"/>
            <w:vAlign w:val="center"/>
          </w:tcPr>
          <w:p w:rsidR="00EC5DC8" w:rsidRPr="00156F86" w:rsidRDefault="00EC5DC8" w:rsidP="006E4779">
            <w:pPr>
              <w:spacing w:line="240" w:lineRule="exact"/>
              <w:jc w:val="center"/>
            </w:pPr>
            <w:r w:rsidRPr="00156F86">
              <w:t>3</w:t>
            </w:r>
          </w:p>
        </w:tc>
      </w:tr>
      <w:tr w:rsidR="00EC5DC8" w:rsidRPr="00156F86" w:rsidTr="006E4779">
        <w:trPr>
          <w:trHeight w:val="573"/>
        </w:trPr>
        <w:tc>
          <w:tcPr>
            <w:tcW w:w="713" w:type="pct"/>
            <w:vMerge w:val="restart"/>
            <w:vAlign w:val="center"/>
          </w:tcPr>
          <w:p w:rsidR="00EC5DC8" w:rsidRPr="00156F86" w:rsidRDefault="00EC5DC8" w:rsidP="006E4779">
            <w:pPr>
              <w:jc w:val="center"/>
            </w:pPr>
            <w:r w:rsidRPr="00156F86">
              <w:rPr>
                <w:spacing w:val="-8"/>
                <w:position w:val="-10"/>
              </w:rPr>
              <w:object w:dxaOrig="300" w:dyaOrig="360">
                <v:shape id="_x0000_i1029" type="#_x0000_t75" style="width:14.25pt;height:21.75pt" o:ole="">
                  <v:imagedata r:id="rId13" o:title=""/>
                </v:shape>
                <o:OLEObject Type="Embed" ProgID="Equation.3" ShapeID="_x0000_i1029" DrawAspect="Content" ObjectID="_1763374402" r:id="rId14"/>
              </w:object>
            </w:r>
          </w:p>
        </w:tc>
        <w:tc>
          <w:tcPr>
            <w:tcW w:w="3214" w:type="pct"/>
            <w:vAlign w:val="center"/>
          </w:tcPr>
          <w:p w:rsidR="00EC5DC8" w:rsidRPr="00156F86" w:rsidRDefault="00EC5DC8" w:rsidP="00F25340">
            <w:pPr>
              <w:shd w:val="clear" w:color="auto" w:fill="FFFFFF"/>
              <w:spacing w:line="240" w:lineRule="exact"/>
              <w:rPr>
                <w:b/>
              </w:rPr>
            </w:pPr>
            <w:r w:rsidRPr="00156F86">
              <w:rPr>
                <w:b/>
              </w:rPr>
              <w:t>Наличие опыта выполнения аналогичных работ</w:t>
            </w:r>
            <w:r w:rsidRPr="00156F86">
              <w:t xml:space="preserve"> </w:t>
            </w:r>
            <w:r w:rsidRPr="00156F86">
              <w:rPr>
                <w:bCs/>
                <w:i/>
                <w:iCs/>
              </w:rPr>
              <w:t xml:space="preserve">рассматривается </w:t>
            </w:r>
            <w:r w:rsidRPr="00156F86">
              <w:rPr>
                <w:i/>
              </w:rPr>
              <w:t>объем заключенных договоров</w:t>
            </w:r>
            <w:r w:rsidRPr="00156F86">
              <w:rPr>
                <w:rFonts w:eastAsia="Calibri"/>
                <w:i/>
              </w:rPr>
              <w:t xml:space="preserve"> </w:t>
            </w:r>
            <w:r w:rsidR="00F25340">
              <w:rPr>
                <w:i/>
              </w:rPr>
              <w:t>за последние полные 3 (три</w:t>
            </w:r>
            <w:r w:rsidRPr="00156F86">
              <w:rPr>
                <w:i/>
              </w:rPr>
              <w:t xml:space="preserve">) </w:t>
            </w:r>
            <w:r w:rsidR="00F25340">
              <w:rPr>
                <w:i/>
              </w:rPr>
              <w:t>года</w:t>
            </w:r>
            <w:r w:rsidRPr="00156F86">
              <w:rPr>
                <w:i/>
              </w:rPr>
              <w:t>, тыс. руб.</w:t>
            </w:r>
          </w:p>
        </w:tc>
        <w:tc>
          <w:tcPr>
            <w:tcW w:w="1073" w:type="pct"/>
            <w:vAlign w:val="center"/>
          </w:tcPr>
          <w:p w:rsidR="00EC5DC8" w:rsidRPr="00156F86" w:rsidRDefault="00EC5DC8" w:rsidP="006E4779">
            <w:pPr>
              <w:spacing w:line="240" w:lineRule="exact"/>
              <w:jc w:val="center"/>
              <w:rPr>
                <w:b/>
              </w:rPr>
            </w:pPr>
            <w:r>
              <w:rPr>
                <w:b/>
              </w:rPr>
              <w:t>7</w:t>
            </w:r>
            <w:r w:rsidRPr="00156F86">
              <w:rPr>
                <w:b/>
              </w:rPr>
              <w:t>0</w:t>
            </w:r>
          </w:p>
        </w:tc>
      </w:tr>
      <w:tr w:rsidR="00EC5DC8" w:rsidRPr="00156F86" w:rsidTr="006E4779">
        <w:trPr>
          <w:trHeight w:val="318"/>
        </w:trPr>
        <w:tc>
          <w:tcPr>
            <w:tcW w:w="713" w:type="pct"/>
            <w:vMerge/>
            <w:vAlign w:val="center"/>
          </w:tcPr>
          <w:p w:rsidR="00EC5DC8" w:rsidRPr="00156F86" w:rsidRDefault="00EC5DC8" w:rsidP="006E4779">
            <w:pPr>
              <w:spacing w:line="240" w:lineRule="exact"/>
              <w:jc w:val="center"/>
            </w:pPr>
          </w:p>
        </w:tc>
        <w:tc>
          <w:tcPr>
            <w:tcW w:w="3214" w:type="pct"/>
            <w:vAlign w:val="center"/>
          </w:tcPr>
          <w:p w:rsidR="00EC5DC8" w:rsidRPr="00156F86" w:rsidRDefault="00EC5DC8" w:rsidP="006E4779">
            <w:pPr>
              <w:shd w:val="clear" w:color="auto" w:fill="FFFFFF"/>
              <w:tabs>
                <w:tab w:val="num" w:pos="360"/>
              </w:tabs>
              <w:spacing w:line="240" w:lineRule="exact"/>
            </w:pPr>
            <w:r w:rsidRPr="00156F86">
              <w:t>Участник закупочной процедуры не имеет опыта выполнения работ согласно предмету закупки</w:t>
            </w:r>
          </w:p>
        </w:tc>
        <w:tc>
          <w:tcPr>
            <w:tcW w:w="1073" w:type="pct"/>
            <w:vAlign w:val="center"/>
          </w:tcPr>
          <w:p w:rsidR="00EC5DC8" w:rsidRPr="00156F86" w:rsidRDefault="00EC5DC8" w:rsidP="006E4779">
            <w:pPr>
              <w:spacing w:line="240" w:lineRule="exact"/>
              <w:jc w:val="center"/>
            </w:pPr>
            <w:r w:rsidRPr="00156F86">
              <w:t>0</w:t>
            </w:r>
          </w:p>
        </w:tc>
      </w:tr>
      <w:tr w:rsidR="00EC5DC8" w:rsidRPr="00156F86" w:rsidTr="006E4779">
        <w:trPr>
          <w:trHeight w:val="113"/>
        </w:trPr>
        <w:tc>
          <w:tcPr>
            <w:tcW w:w="713" w:type="pct"/>
            <w:vMerge/>
            <w:vAlign w:val="center"/>
          </w:tcPr>
          <w:p w:rsidR="00EC5DC8" w:rsidRPr="00156F86" w:rsidRDefault="00EC5DC8" w:rsidP="006E4779">
            <w:pPr>
              <w:spacing w:line="240" w:lineRule="exact"/>
              <w:jc w:val="center"/>
            </w:pPr>
          </w:p>
        </w:tc>
        <w:tc>
          <w:tcPr>
            <w:tcW w:w="3214" w:type="pct"/>
            <w:vAlign w:val="center"/>
          </w:tcPr>
          <w:p w:rsidR="00EC5DC8" w:rsidRPr="00156F86" w:rsidRDefault="00EC5DC8" w:rsidP="006E4779">
            <w:pPr>
              <w:spacing w:line="240" w:lineRule="exact"/>
              <w:rPr>
                <w:b/>
                <w:i/>
              </w:rPr>
            </w:pPr>
            <w:r w:rsidRPr="00156F86">
              <w:rPr>
                <w:b/>
              </w:rPr>
              <w:t xml:space="preserve">Наличие опыта выполнения аналогичных работ </w:t>
            </w:r>
          </w:p>
          <w:p w:rsidR="00EC5DC8" w:rsidRDefault="00EC5DC8" w:rsidP="006E4779">
            <w:pPr>
              <w:spacing w:line="240" w:lineRule="exact"/>
            </w:pPr>
            <w:r w:rsidRPr="00156F86">
              <w:t>Наилучшим значением признается значение с наибольшим общим объемом аналогич</w:t>
            </w:r>
            <w:r w:rsidR="00F25340">
              <w:t>ных по составу работ за период 3</w:t>
            </w:r>
            <w:r w:rsidRPr="00156F86">
              <w:t>-</w:t>
            </w:r>
            <w:r w:rsidR="00F25340">
              <w:t>ех</w:t>
            </w:r>
            <w:r w:rsidRPr="00156F86">
              <w:t xml:space="preserve"> (</w:t>
            </w:r>
            <w:r w:rsidR="00F25340">
              <w:t>трех</w:t>
            </w:r>
            <w:r w:rsidRPr="00156F86">
              <w:t>) последних лет времени осуществления деятельности Участника. Объем определяется общей суммой исполненных договоров на аналогичные по состав</w:t>
            </w:r>
            <w:r w:rsidR="00F25340">
              <w:t>у работы за период 3-ех (трех</w:t>
            </w:r>
            <w:r w:rsidRPr="00156F86">
              <w:t xml:space="preserve">) полных лет времени осуществления деятельности Участника в тысячах рублей (без учета НДС). </w:t>
            </w:r>
          </w:p>
          <w:p w:rsidR="00EC5DC8" w:rsidRPr="00156F86" w:rsidRDefault="00EC5DC8" w:rsidP="006E4779">
            <w:pPr>
              <w:spacing w:line="240" w:lineRule="exact"/>
            </w:pPr>
            <w:r>
              <w:t>Баллы рассчитываются пропорционально, в зависимости от разницы значений по сравнению с наилучшим предложением.</w:t>
            </w:r>
            <w:r w:rsidRPr="00156F86">
              <w:t xml:space="preserve"> </w:t>
            </w:r>
          </w:p>
        </w:tc>
        <w:tc>
          <w:tcPr>
            <w:tcW w:w="1073" w:type="pct"/>
            <w:vAlign w:val="center"/>
          </w:tcPr>
          <w:p w:rsidR="00EC5DC8" w:rsidRPr="00156F86" w:rsidRDefault="00EC5DC8" w:rsidP="006E4779">
            <w:pPr>
              <w:spacing w:line="240" w:lineRule="exact"/>
              <w:jc w:val="center"/>
            </w:pPr>
            <w:r>
              <w:t>70</w:t>
            </w:r>
          </w:p>
        </w:tc>
      </w:tr>
      <w:tr w:rsidR="00EC5DC8" w:rsidRPr="00156F86" w:rsidTr="006E4779">
        <w:trPr>
          <w:trHeight w:val="260"/>
        </w:trPr>
        <w:tc>
          <w:tcPr>
            <w:tcW w:w="713" w:type="pct"/>
            <w:vMerge w:val="restart"/>
            <w:vAlign w:val="center"/>
          </w:tcPr>
          <w:p w:rsidR="00EC5DC8" w:rsidRPr="00156F86" w:rsidRDefault="00EC5DC8" w:rsidP="006E4779">
            <w:pPr>
              <w:spacing w:line="240" w:lineRule="exact"/>
              <w:jc w:val="center"/>
            </w:pPr>
            <w:r w:rsidRPr="00156F86">
              <w:rPr>
                <w:spacing w:val="-8"/>
                <w:position w:val="-10"/>
              </w:rPr>
              <w:object w:dxaOrig="300" w:dyaOrig="360">
                <v:shape id="_x0000_i1030" type="#_x0000_t75" style="width:14.25pt;height:21.75pt" o:ole="">
                  <v:imagedata r:id="rId15" o:title=""/>
                </v:shape>
                <o:OLEObject Type="Embed" ProgID="Equation.3" ShapeID="_x0000_i1030" DrawAspect="Content" ObjectID="_1763374403" r:id="rId16"/>
              </w:object>
            </w:r>
          </w:p>
        </w:tc>
        <w:tc>
          <w:tcPr>
            <w:tcW w:w="3214" w:type="pct"/>
            <w:vAlign w:val="center"/>
          </w:tcPr>
          <w:p w:rsidR="00EC5DC8" w:rsidRPr="00F12DB7" w:rsidRDefault="00EC5DC8" w:rsidP="006E4779">
            <w:pPr>
              <w:autoSpaceDE w:val="0"/>
              <w:spacing w:line="240" w:lineRule="exact"/>
              <w:rPr>
                <w:b/>
              </w:rPr>
            </w:pPr>
            <w:r w:rsidRPr="00F12DB7">
              <w:rPr>
                <w:b/>
              </w:rPr>
              <w:t>Трудовые ресурсы – общее количество персонала, состоящего в штате организации</w:t>
            </w:r>
          </w:p>
          <w:p w:rsidR="00EC5DC8" w:rsidRPr="00F12DB7" w:rsidRDefault="00EC5DC8" w:rsidP="006E4779">
            <w:pPr>
              <w:autoSpaceDE w:val="0"/>
              <w:spacing w:line="240" w:lineRule="exact"/>
            </w:pPr>
            <w:r w:rsidRPr="00F12DB7">
              <w:t>(Количество персонала подтверждается заверенной выпиской из штатного расписания, по форме КНД 1110018)</w:t>
            </w:r>
          </w:p>
        </w:tc>
        <w:tc>
          <w:tcPr>
            <w:tcW w:w="1073" w:type="pct"/>
            <w:vAlign w:val="center"/>
          </w:tcPr>
          <w:p w:rsidR="00EC5DC8" w:rsidRPr="00156F86" w:rsidRDefault="00EC5DC8" w:rsidP="006E4779">
            <w:pPr>
              <w:spacing w:line="240" w:lineRule="exact"/>
              <w:jc w:val="center"/>
              <w:rPr>
                <w:b/>
              </w:rPr>
            </w:pPr>
            <w:r>
              <w:rPr>
                <w:b/>
              </w:rPr>
              <w:t>30</w:t>
            </w:r>
          </w:p>
        </w:tc>
      </w:tr>
      <w:tr w:rsidR="00EC5DC8" w:rsidRPr="00156F86" w:rsidTr="006E4779">
        <w:trPr>
          <w:trHeight w:val="569"/>
        </w:trPr>
        <w:tc>
          <w:tcPr>
            <w:tcW w:w="713" w:type="pct"/>
            <w:vMerge/>
            <w:vAlign w:val="center"/>
          </w:tcPr>
          <w:p w:rsidR="00EC5DC8" w:rsidRPr="00156F86" w:rsidRDefault="00EC5DC8" w:rsidP="006E4779">
            <w:pPr>
              <w:spacing w:line="240" w:lineRule="exact"/>
              <w:jc w:val="center"/>
            </w:pPr>
          </w:p>
        </w:tc>
        <w:tc>
          <w:tcPr>
            <w:tcW w:w="3214" w:type="pct"/>
            <w:vAlign w:val="center"/>
          </w:tcPr>
          <w:p w:rsidR="00EC5DC8" w:rsidRPr="00156F86" w:rsidRDefault="00EC5DC8" w:rsidP="006E4779">
            <w:pPr>
              <w:shd w:val="clear" w:color="auto" w:fill="FFFFFF"/>
              <w:spacing w:line="240" w:lineRule="exact"/>
              <w:ind w:left="13"/>
            </w:pPr>
            <w:r w:rsidRPr="00156F86">
              <w:t>Не предоставление информации о наличии специалистов</w:t>
            </w:r>
          </w:p>
        </w:tc>
        <w:tc>
          <w:tcPr>
            <w:tcW w:w="1073" w:type="pct"/>
            <w:vAlign w:val="center"/>
          </w:tcPr>
          <w:p w:rsidR="00EC5DC8" w:rsidRPr="00156F86" w:rsidRDefault="00EC5DC8" w:rsidP="006E4779">
            <w:pPr>
              <w:spacing w:line="240" w:lineRule="exact"/>
              <w:jc w:val="center"/>
            </w:pPr>
            <w:r w:rsidRPr="00156F86">
              <w:t>0</w:t>
            </w:r>
          </w:p>
        </w:tc>
      </w:tr>
      <w:tr w:rsidR="00EC5DC8" w:rsidRPr="00156F86" w:rsidTr="006E4779">
        <w:trPr>
          <w:trHeight w:val="990"/>
        </w:trPr>
        <w:tc>
          <w:tcPr>
            <w:tcW w:w="713" w:type="pct"/>
            <w:vMerge/>
            <w:vAlign w:val="center"/>
          </w:tcPr>
          <w:p w:rsidR="00EC5DC8" w:rsidRPr="00156F86" w:rsidRDefault="00EC5DC8" w:rsidP="006E4779">
            <w:pPr>
              <w:spacing w:line="240" w:lineRule="exact"/>
              <w:jc w:val="center"/>
            </w:pPr>
          </w:p>
        </w:tc>
        <w:tc>
          <w:tcPr>
            <w:tcW w:w="3214" w:type="pct"/>
            <w:vAlign w:val="center"/>
          </w:tcPr>
          <w:p w:rsidR="00EC5DC8" w:rsidRPr="00156F86" w:rsidRDefault="00EC5DC8" w:rsidP="006E4779">
            <w:r w:rsidRPr="00156F86">
              <w:t>Предоставление информации.</w:t>
            </w:r>
          </w:p>
          <w:p w:rsidR="00EC5DC8" w:rsidRPr="00156F86" w:rsidRDefault="00EC5DC8" w:rsidP="006E4779">
            <w:pPr>
              <w:spacing w:line="240" w:lineRule="exact"/>
              <w:ind w:left="13"/>
            </w:pPr>
            <w:r w:rsidRPr="00156F86">
              <w:t>Наилучшим значением признается значение с наибольшим общим количеством</w:t>
            </w:r>
            <w:r>
              <w:t xml:space="preserve"> персонала (количество человек).</w:t>
            </w:r>
            <w:r w:rsidRPr="00156F86">
              <w:t xml:space="preserve"> </w:t>
            </w:r>
            <w:r w:rsidRPr="00572CA5">
              <w:t>Баллы рассчитываются пропорционально, в зависимости от разницы значений по сравнению с наилучшим предложением</w:t>
            </w:r>
          </w:p>
        </w:tc>
        <w:tc>
          <w:tcPr>
            <w:tcW w:w="1073" w:type="pct"/>
            <w:vAlign w:val="center"/>
          </w:tcPr>
          <w:p w:rsidR="00EC5DC8" w:rsidRPr="00156F86" w:rsidRDefault="00EC5DC8" w:rsidP="006E4779">
            <w:pPr>
              <w:spacing w:line="240" w:lineRule="exact"/>
              <w:jc w:val="center"/>
            </w:pPr>
            <w:r>
              <w:t>30</w:t>
            </w:r>
          </w:p>
        </w:tc>
      </w:tr>
    </w:tbl>
    <w:p w:rsidR="00EC5DC8" w:rsidRPr="00156F86" w:rsidRDefault="00EC5DC8" w:rsidP="00EC5DC8">
      <w:pPr>
        <w:contextualSpacing/>
      </w:pPr>
    </w:p>
    <w:p w:rsidR="00EC5DC8" w:rsidRPr="00156F86" w:rsidRDefault="00EC5DC8" w:rsidP="00EC5DC8">
      <w:pPr>
        <w:rPr>
          <w:bCs/>
        </w:rPr>
      </w:pPr>
      <w:r w:rsidRPr="00156F86">
        <w:t>Рейтинг, присуждаемый заявке по критерию "Качество работ и квалификация участника конкурса» определяется конкурсной комиссии, присуждаемых этой заявке по указанному критерию. В случае применения показателей рейтинг, присуждаемый i-й заявке по указанному критерию, определяется по формуле:</w:t>
      </w:r>
    </w:p>
    <w:p w:rsidR="00EC5DC8" w:rsidRPr="00156F86" w:rsidRDefault="00E9114E" w:rsidP="00EC5DC8">
      <w:pPr>
        <w:jc w:val="center"/>
        <w:rPr>
          <w:bCs/>
        </w:rPr>
      </w:pPr>
      <m:oMath>
        <m:sSub>
          <m:sSubPr>
            <m:ctrlPr>
              <w:rPr>
                <w:rFonts w:ascii="Cambria Math" w:hAnsi="Cambria Math"/>
                <w:bCs/>
                <w:i/>
                <w:lang w:val="en-US"/>
              </w:rPr>
            </m:ctrlPr>
          </m:sSubPr>
          <m:e>
            <m:r>
              <w:rPr>
                <w:rFonts w:ascii="Cambria Math" w:hAnsi="Cambria Math"/>
                <w:lang w:val="en-US"/>
              </w:rPr>
              <m:t>Rc</m:t>
            </m:r>
          </m:e>
          <m:sub>
            <m:r>
              <w:rPr>
                <w:rFonts w:ascii="Cambria Math" w:hAnsi="Cambria Math"/>
                <w:lang w:val="en-US"/>
              </w:rPr>
              <m:t>i</m:t>
            </m:r>
          </m:sub>
        </m:sSub>
        <m:r>
          <w:rPr>
            <w:rFonts w:ascii="Cambria Math" w:hAnsi="Cambria Math"/>
          </w:rPr>
          <m:t>=</m:t>
        </m:r>
        <m:sSubSup>
          <m:sSubSupPr>
            <m:ctrlPr>
              <w:rPr>
                <w:rFonts w:ascii="Cambria Math" w:hAnsi="Cambria Math"/>
                <w:bCs/>
                <w:i/>
                <w:lang w:val="en-US"/>
              </w:rPr>
            </m:ctrlPr>
          </m:sSubSupPr>
          <m:e>
            <m:r>
              <w:rPr>
                <w:rFonts w:ascii="Cambria Math" w:hAnsi="Cambria Math"/>
                <w:lang w:val="en-US"/>
              </w:rPr>
              <m:t>C</m:t>
            </m:r>
          </m:e>
          <m:sub>
            <m:r>
              <w:rPr>
                <w:rFonts w:ascii="Cambria Math" w:hAnsi="Cambria Math"/>
              </w:rPr>
              <m:t>1</m:t>
            </m:r>
          </m:sub>
          <m:sup>
            <m:r>
              <w:rPr>
                <w:rFonts w:ascii="Cambria Math" w:hAnsi="Cambria Math"/>
                <w:lang w:val="en-US"/>
              </w:rPr>
              <m:t>i</m:t>
            </m:r>
          </m:sup>
        </m:sSubSup>
        <m:r>
          <w:rPr>
            <w:rFonts w:ascii="Cambria Math" w:hAnsi="Cambria Math"/>
          </w:rPr>
          <m:t>+</m:t>
        </m:r>
        <m:sSubSup>
          <m:sSubSupPr>
            <m:ctrlPr>
              <w:rPr>
                <w:rFonts w:ascii="Cambria Math" w:hAnsi="Cambria Math"/>
                <w:bCs/>
                <w:i/>
                <w:lang w:val="en-US"/>
              </w:rPr>
            </m:ctrlPr>
          </m:sSubSupPr>
          <m:e>
            <m:r>
              <w:rPr>
                <w:rFonts w:ascii="Cambria Math" w:hAnsi="Cambria Math"/>
                <w:lang w:val="en-US"/>
              </w:rPr>
              <m:t>C</m:t>
            </m:r>
          </m:e>
          <m:sub>
            <m:r>
              <w:rPr>
                <w:rFonts w:ascii="Cambria Math" w:hAnsi="Cambria Math"/>
              </w:rPr>
              <m:t>2</m:t>
            </m:r>
          </m:sub>
          <m:sup>
            <m:r>
              <w:rPr>
                <w:rFonts w:ascii="Cambria Math" w:hAnsi="Cambria Math"/>
                <w:lang w:val="en-US"/>
              </w:rPr>
              <m:t>i</m:t>
            </m:r>
          </m:sup>
        </m:sSubSup>
      </m:oMath>
      <w:r w:rsidR="00EC5DC8" w:rsidRPr="00156F86">
        <w:rPr>
          <w:bCs/>
        </w:rPr>
        <w:t xml:space="preserve"> ,</w:t>
      </w:r>
    </w:p>
    <w:p w:rsidR="00EC5DC8" w:rsidRPr="00156F86" w:rsidRDefault="00EC5DC8" w:rsidP="00EC5DC8">
      <w:pPr>
        <w:rPr>
          <w:bCs/>
        </w:rPr>
      </w:pPr>
      <w:r w:rsidRPr="00156F86">
        <w:rPr>
          <w:bCs/>
        </w:rPr>
        <w:t>где:</w:t>
      </w:r>
    </w:p>
    <w:p w:rsidR="00EC5DC8" w:rsidRPr="00156F86" w:rsidRDefault="00EC5DC8" w:rsidP="00EC5DC8">
      <w:pPr>
        <w:autoSpaceDE w:val="0"/>
        <w:autoSpaceDN w:val="0"/>
        <w:adjustRightInd w:val="0"/>
      </w:pPr>
      <w:r w:rsidRPr="00156F86">
        <w:rPr>
          <w:position w:val="-12"/>
        </w:rPr>
        <w:object w:dxaOrig="345" w:dyaOrig="360">
          <v:shape id="_x0000_i1031" type="#_x0000_t75" style="width:14.25pt;height:14.25pt" o:ole="">
            <v:imagedata r:id="rId17" o:title=""/>
          </v:shape>
          <o:OLEObject Type="Embed" ProgID="Equation.3" ShapeID="_x0000_i1031" DrawAspect="Content" ObjectID="_1763374404" r:id="rId18"/>
        </w:object>
      </w:r>
      <w:r w:rsidRPr="00156F86">
        <w:t xml:space="preserve"> - рейтинг, присуждаемый i-й заявке по указанному критерию;</w:t>
      </w:r>
    </w:p>
    <w:p w:rsidR="00EC5DC8" w:rsidRPr="00156F86" w:rsidRDefault="00EC5DC8" w:rsidP="00EC5DC8">
      <w:pPr>
        <w:widowControl w:val="0"/>
        <w:snapToGrid w:val="0"/>
      </w:pPr>
      <w:r w:rsidRPr="00156F86">
        <w:rPr>
          <w:position w:val="-10"/>
        </w:rPr>
        <w:object w:dxaOrig="285" w:dyaOrig="360">
          <v:shape id="_x0000_i1032" type="#_x0000_t75" style="width:14.25pt;height:14.25pt" o:ole="">
            <v:imagedata r:id="rId19" o:title=""/>
          </v:shape>
          <o:OLEObject Type="Embed" ProgID="Equation.3" ShapeID="_x0000_i1032" DrawAspect="Content" ObjectID="_1763374405" r:id="rId20"/>
        </w:object>
      </w:r>
      <w:r w:rsidRPr="00156F86">
        <w:t xml:space="preserve"> – значение в баллах, присуждаемое комиссией i-й заявке на участие в конкурсе по второму показателю - </w:t>
      </w:r>
      <w:r w:rsidRPr="00156F86">
        <w:rPr>
          <w:b/>
        </w:rPr>
        <w:t xml:space="preserve">«Наличие опыта выполнения аналогичных работ </w:t>
      </w:r>
      <w:r w:rsidRPr="00156F86">
        <w:rPr>
          <w:i/>
        </w:rPr>
        <w:t>(</w:t>
      </w:r>
      <w:r w:rsidRPr="00156F86">
        <w:rPr>
          <w:bCs/>
          <w:i/>
          <w:iCs/>
        </w:rPr>
        <w:t xml:space="preserve">рассматривается </w:t>
      </w:r>
      <w:r w:rsidRPr="00156F86">
        <w:rPr>
          <w:i/>
        </w:rPr>
        <w:t>объем заключенных договоров</w:t>
      </w:r>
      <w:r w:rsidRPr="00156F86">
        <w:rPr>
          <w:rFonts w:eastAsia="Calibri"/>
          <w:i/>
        </w:rPr>
        <w:t xml:space="preserve"> </w:t>
      </w:r>
      <w:r w:rsidRPr="00156F86">
        <w:rPr>
          <w:i/>
        </w:rPr>
        <w:t xml:space="preserve">за последние полные </w:t>
      </w:r>
      <w:r w:rsidR="00F25340">
        <w:rPr>
          <w:i/>
        </w:rPr>
        <w:t>3</w:t>
      </w:r>
      <w:r w:rsidRPr="00156F86">
        <w:rPr>
          <w:i/>
        </w:rPr>
        <w:t xml:space="preserve"> (</w:t>
      </w:r>
      <w:r w:rsidR="00F25340">
        <w:rPr>
          <w:i/>
        </w:rPr>
        <w:t>три</w:t>
      </w:r>
      <w:r w:rsidRPr="00156F86">
        <w:rPr>
          <w:i/>
        </w:rPr>
        <w:t xml:space="preserve">) </w:t>
      </w:r>
      <w:r w:rsidR="00F25340">
        <w:rPr>
          <w:i/>
        </w:rPr>
        <w:t>года</w:t>
      </w:r>
      <w:r w:rsidRPr="00156F86">
        <w:rPr>
          <w:i/>
        </w:rPr>
        <w:t>, тыс. руб.</w:t>
      </w:r>
    </w:p>
    <w:p w:rsidR="00EC5DC8" w:rsidRPr="00F12DB7" w:rsidRDefault="00EC5DC8" w:rsidP="00EC5DC8">
      <w:pPr>
        <w:widowControl w:val="0"/>
        <w:snapToGrid w:val="0"/>
        <w:contextualSpacing/>
        <w:rPr>
          <w:b/>
        </w:rPr>
      </w:pPr>
      <w:r w:rsidRPr="00156F86">
        <w:rPr>
          <w:position w:val="-10"/>
        </w:rPr>
        <w:object w:dxaOrig="315" w:dyaOrig="345">
          <v:shape id="_x0000_i1033" type="#_x0000_t75" style="width:14.25pt;height:14.25pt" o:ole="">
            <v:imagedata r:id="rId21" o:title=""/>
          </v:shape>
          <o:OLEObject Type="Embed" ProgID="Equation.3" ShapeID="_x0000_i1033" DrawAspect="Content" ObjectID="_1763374406" r:id="rId22"/>
        </w:object>
      </w:r>
      <w:r w:rsidRPr="00156F86">
        <w:t xml:space="preserve"> - значение в баллах, присуждаемое комиссией i-й заявке на участие в конкурсе по показателю – </w:t>
      </w:r>
      <w:r w:rsidRPr="00F12DB7">
        <w:rPr>
          <w:b/>
        </w:rPr>
        <w:t>Трудовые ресурсы – общее количество персонала, состоящего в штате организации</w:t>
      </w:r>
    </w:p>
    <w:p w:rsidR="00EC5DC8" w:rsidRPr="00156F86" w:rsidRDefault="00EC5DC8" w:rsidP="00EC5DC8">
      <w:pPr>
        <w:ind w:firstLine="567"/>
        <w:rPr>
          <w:b/>
          <w:position w:val="-12"/>
        </w:rPr>
      </w:pPr>
    </w:p>
    <w:p w:rsidR="00EC5DC8" w:rsidRPr="00156F86" w:rsidRDefault="00EC5DC8" w:rsidP="00EC5DC8">
      <w:pPr>
        <w:widowControl w:val="0"/>
        <w:snapToGrid w:val="0"/>
        <w:rPr>
          <w:i/>
        </w:rPr>
      </w:pPr>
      <w:r w:rsidRPr="00156F86">
        <w:rPr>
          <w:b/>
        </w:rPr>
        <w:t>Наличие опыта выполнения аналогичных работ в соответствии с Техническим заданием (Приложение № 1 к Договору)</w:t>
      </w:r>
      <w:r w:rsidRPr="00156F86">
        <w:t xml:space="preserve"> </w:t>
      </w:r>
      <w:r w:rsidRPr="00156F86">
        <w:rPr>
          <w:bCs/>
          <w:i/>
          <w:iCs/>
        </w:rPr>
        <w:t>рассматривается объем заключенных</w:t>
      </w:r>
      <w:r w:rsidR="00F25340">
        <w:rPr>
          <w:bCs/>
          <w:i/>
          <w:iCs/>
        </w:rPr>
        <w:t xml:space="preserve"> договоров за последние полные 3</w:t>
      </w:r>
      <w:r w:rsidRPr="00156F86">
        <w:rPr>
          <w:bCs/>
          <w:i/>
          <w:iCs/>
        </w:rPr>
        <w:t xml:space="preserve"> (</w:t>
      </w:r>
      <w:r w:rsidR="00F25340">
        <w:rPr>
          <w:bCs/>
          <w:i/>
          <w:iCs/>
        </w:rPr>
        <w:t>три</w:t>
      </w:r>
      <w:r w:rsidRPr="00156F86">
        <w:rPr>
          <w:bCs/>
          <w:i/>
          <w:iCs/>
        </w:rPr>
        <w:t xml:space="preserve">) </w:t>
      </w:r>
      <w:r w:rsidR="00F25340">
        <w:rPr>
          <w:bCs/>
          <w:i/>
          <w:iCs/>
        </w:rPr>
        <w:t>года</w:t>
      </w:r>
      <w:r w:rsidRPr="00156F86">
        <w:rPr>
          <w:bCs/>
          <w:i/>
          <w:iCs/>
        </w:rPr>
        <w:t>, тыс. руб.</w:t>
      </w:r>
    </w:p>
    <w:p w:rsidR="00EC5DC8" w:rsidRPr="00156F86" w:rsidRDefault="00EC5DC8" w:rsidP="00EC5DC8">
      <w:pPr>
        <w:rPr>
          <w:bCs/>
          <w:iCs/>
        </w:rPr>
      </w:pPr>
      <w:r w:rsidRPr="00156F86">
        <w:rPr>
          <w:bCs/>
        </w:rPr>
        <w:t>Для оценки сведений по этому показателю участник представляет на рассмотрение сведения, которые вносит в референт лист (Приложение № 5).</w:t>
      </w:r>
    </w:p>
    <w:p w:rsidR="00EC5DC8" w:rsidRPr="00156F86" w:rsidRDefault="00EC5DC8" w:rsidP="00EC5DC8">
      <w:r w:rsidRPr="00156F86">
        <w:t xml:space="preserve">Для подтверждения факта выполненных работ участник конкурса должен предоставить копии Договоров (в </w:t>
      </w:r>
      <w:proofErr w:type="spellStart"/>
      <w:r w:rsidRPr="00156F86">
        <w:t>т.ч</w:t>
      </w:r>
      <w:proofErr w:type="spellEnd"/>
      <w:r w:rsidRPr="00156F86">
        <w:t xml:space="preserve">. приложения к договору), копии подписанных актов сдачи-приемки выполненных работ по каждому из представленных Договоров, </w:t>
      </w:r>
      <w:r w:rsidRPr="00FA465F">
        <w:t xml:space="preserve">оформленных непосредственно на имя участника размещения заказа, копии ЗОС по </w:t>
      </w:r>
      <w:proofErr w:type="gramStart"/>
      <w:r w:rsidRPr="00FA465F">
        <w:t>объектам</w:t>
      </w:r>
      <w:r w:rsidR="00EB0738">
        <w:t>(</w:t>
      </w:r>
      <w:proofErr w:type="gramEnd"/>
      <w:r w:rsidR="00EB0738">
        <w:t>при наличии)</w:t>
      </w:r>
      <w:r w:rsidRPr="00FA465F">
        <w:t>, представленным в референт листе. В случае не предоставления вышеуказанных документов, подтверждающих выполнение работ, представленная информация в Референт</w:t>
      </w:r>
      <w:r w:rsidRPr="00156F86">
        <w:t xml:space="preserve"> листе не будет рассмотрена.</w:t>
      </w:r>
    </w:p>
    <w:p w:rsidR="00EC5DC8" w:rsidRDefault="00EC5DC8" w:rsidP="00EC5DC8">
      <w:pPr>
        <w:contextualSpacing/>
        <w:rPr>
          <w:b/>
          <w:color w:val="000000"/>
          <w:shd w:val="clear" w:color="auto" w:fill="FFFFFF"/>
        </w:rPr>
      </w:pPr>
      <w:r w:rsidRPr="00156F86">
        <w:t xml:space="preserve">Под аналогичной работой понимается </w:t>
      </w:r>
      <w:r w:rsidRPr="00156F86">
        <w:rPr>
          <w:b/>
        </w:rPr>
        <w:t xml:space="preserve">- </w:t>
      </w:r>
      <w:r w:rsidRPr="00156F86">
        <w:t xml:space="preserve">аналогичные по техническим и функциональным характеристикам работы, которые могут отличаться друг от друга незначительными особенностями (деталями), не влияющими на результаты работ и (или) относящиеся к одной группе работ со схожей номенклатурой работ в соответствии с предметом закупки </w:t>
      </w:r>
      <w:r w:rsidRPr="00FA465F">
        <w:t>(</w:t>
      </w:r>
      <w:r w:rsidR="00EB0738" w:rsidRPr="00EB0738">
        <w:rPr>
          <w:b/>
          <w:color w:val="000000"/>
          <w:shd w:val="clear" w:color="auto" w:fill="FFFFFF"/>
        </w:rPr>
        <w:t>опыт исполнения договора строительного подряда, предусматривающего выполнен</w:t>
      </w:r>
      <w:r w:rsidR="00EB0738">
        <w:rPr>
          <w:b/>
          <w:color w:val="000000"/>
          <w:shd w:val="clear" w:color="auto" w:fill="FFFFFF"/>
        </w:rPr>
        <w:t>ие работ по строительству</w:t>
      </w:r>
      <w:r w:rsidR="00EB0738" w:rsidRPr="00EB0738">
        <w:rPr>
          <w:b/>
          <w:color w:val="000000"/>
          <w:shd w:val="clear" w:color="auto" w:fill="FFFFFF"/>
        </w:rPr>
        <w:t xml:space="preserve"> объекта капитального строительства</w:t>
      </w:r>
      <w:r w:rsidRPr="00FA465F">
        <w:rPr>
          <w:b/>
          <w:color w:val="000000"/>
          <w:shd w:val="clear" w:color="auto" w:fill="FFFFFF"/>
        </w:rPr>
        <w:t>)</w:t>
      </w:r>
    </w:p>
    <w:p w:rsidR="00EC5DC8" w:rsidRDefault="00EC5DC8" w:rsidP="00EC5DC8">
      <w:pPr>
        <w:tabs>
          <w:tab w:val="left" w:pos="556"/>
        </w:tabs>
        <w:spacing w:before="120" w:after="120"/>
      </w:pPr>
      <w:r>
        <w:t>Баллы, присуждаемые</w:t>
      </w:r>
      <w:r w:rsidRPr="00156F86">
        <w:t xml:space="preserve"> заявке по критерию «</w:t>
      </w:r>
      <w:r w:rsidRPr="00ED46B4">
        <w:t>Наличие опыта выполнения аналогичных работ</w:t>
      </w:r>
      <w:r>
        <w:t>» рассчитываю</w:t>
      </w:r>
      <w:r w:rsidRPr="00156F86">
        <w:t>тся по формуле:</w:t>
      </w:r>
    </w:p>
    <w:p w:rsidR="00EC5DC8" w:rsidRDefault="00EC5DC8" w:rsidP="00EC5DC8">
      <w:pPr>
        <w:pStyle w:val="s04"/>
        <w:tabs>
          <w:tab w:val="left" w:pos="0"/>
          <w:tab w:val="left" w:pos="556"/>
        </w:tabs>
        <w:spacing w:before="0"/>
        <w:ind w:firstLine="709"/>
        <w:contextualSpacing/>
        <w:rPr>
          <w:sz w:val="22"/>
          <w:szCs w:val="22"/>
        </w:rPr>
      </w:pPr>
    </w:p>
    <w:p w:rsidR="00EC5DC8" w:rsidRPr="00465F93" w:rsidRDefault="00EC5DC8" w:rsidP="00EC5DC8">
      <w:pPr>
        <w:pStyle w:val="a4"/>
        <w:tabs>
          <w:tab w:val="left" w:pos="556"/>
        </w:tabs>
        <w:ind w:left="0"/>
        <w:jc w:val="center"/>
        <w:rPr>
          <w:b/>
          <w:bCs/>
        </w:rPr>
      </w:pPr>
      <w:proofErr w:type="spellStart"/>
      <m:oMathPara>
        <m:oMath>
          <m:r>
            <m:rPr>
              <m:lit/>
              <m:nor/>
            </m:rPr>
            <w:rPr>
              <w:rFonts w:ascii="Cambria Math" w:hAnsi="Cambria Math"/>
            </w:rPr>
            <m:t>Бi</m:t>
          </m:r>
          <w:proofErr w:type="spellEnd"/>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З</m:t>
                  </m:r>
                </m:e>
                <m:sub>
                  <m:r>
                    <m:rPr>
                      <m:lit/>
                      <m:nor/>
                    </m:rPr>
                    <w:rPr>
                      <w:rFonts w:ascii="Cambria Math" w:hAnsi="Cambria Math"/>
                    </w:rPr>
                    <m:t>пр.</m:t>
                  </m:r>
                  <m:r>
                    <w:rPr>
                      <w:rFonts w:ascii="Cambria Math" w:hAnsi="Cambria Math"/>
                    </w:rPr>
                    <m:t>i</m:t>
                  </m:r>
                </m:sub>
              </m:sSub>
            </m:num>
            <m:den>
              <m:sSub>
                <m:sSubPr>
                  <m:ctrlPr>
                    <w:rPr>
                      <w:rFonts w:ascii="Cambria Math" w:hAnsi="Cambria Math"/>
                    </w:rPr>
                  </m:ctrlPr>
                </m:sSubPr>
                <m:e>
                  <m:r>
                    <w:rPr>
                      <w:rFonts w:ascii="Cambria Math" w:hAnsi="Cambria Math"/>
                    </w:rPr>
                    <m:t>З</m:t>
                  </m:r>
                </m:e>
                <m:sub>
                  <m:r>
                    <m:rPr>
                      <m:lit/>
                      <m:nor/>
                    </m:rPr>
                    <w:rPr>
                      <w:rFonts w:ascii="Cambria Math" w:hAnsi="Cambria Math"/>
                    </w:rPr>
                    <m:t>пр</m:t>
                  </m:r>
                  <m:r>
                    <w:rPr>
                      <w:rFonts w:ascii="Cambria Math" w:hAnsi="Cambria Math"/>
                    </w:rPr>
                    <m:t>1</m:t>
                  </m:r>
                  <m:r>
                    <m:rPr>
                      <m:lit/>
                      <m:nor/>
                    </m:rPr>
                    <w:rPr>
                      <w:rFonts w:ascii="Cambria Math" w:hAnsi="Cambria Math"/>
                    </w:rPr>
                    <m:t>.</m:t>
                  </m:r>
                </m:sub>
              </m:sSub>
            </m:den>
          </m:f>
          <m:r>
            <w:rPr>
              <w:rFonts w:ascii="Cambria Math" w:hAnsi="Cambria Math"/>
            </w:rPr>
            <m:t>×</m:t>
          </m:r>
          <m:r>
            <w:rPr>
              <w:rFonts w:ascii="Cambria Math" w:hAnsi="Cambria Math"/>
              <w:lang w:val="en-US"/>
            </w:rPr>
            <m:t>i</m:t>
          </m:r>
          <m:r>
            <w:rPr>
              <w:rFonts w:ascii="Cambria Math" w:hAnsi="Cambria Math"/>
            </w:rPr>
            <m:t>,</m:t>
          </m:r>
        </m:oMath>
      </m:oMathPara>
    </w:p>
    <w:p w:rsidR="00EC5DC8" w:rsidRDefault="00EC5DC8" w:rsidP="00EC5DC8">
      <w:pPr>
        <w:pStyle w:val="s04"/>
        <w:tabs>
          <w:tab w:val="left" w:pos="556"/>
        </w:tabs>
        <w:spacing w:before="0"/>
        <w:ind w:firstLine="709"/>
        <w:contextualSpacing/>
        <w:rPr>
          <w:sz w:val="22"/>
          <w:szCs w:val="22"/>
        </w:rPr>
      </w:pPr>
      <w:r>
        <w:rPr>
          <w:sz w:val="22"/>
          <w:szCs w:val="22"/>
        </w:rPr>
        <w:t>где:</w:t>
      </w:r>
    </w:p>
    <w:p w:rsidR="00EC5DC8" w:rsidRDefault="00EC5DC8" w:rsidP="00EC5DC8">
      <w:pPr>
        <w:pStyle w:val="s04"/>
        <w:tabs>
          <w:tab w:val="left" w:pos="556"/>
        </w:tabs>
        <w:spacing w:before="0"/>
        <w:ind w:firstLine="709"/>
        <w:contextualSpacing/>
        <w:rPr>
          <w:sz w:val="22"/>
          <w:szCs w:val="22"/>
        </w:rPr>
      </w:pPr>
      <w:proofErr w:type="spellStart"/>
      <m:oMath>
        <m:r>
          <m:rPr>
            <m:lit/>
            <m:nor/>
          </m:rPr>
          <w:rPr>
            <w:rFonts w:ascii="Cambria Math" w:hAnsi="Cambria Math"/>
          </w:rPr>
          <m:t>Бi</m:t>
        </m:r>
      </m:oMath>
      <w:proofErr w:type="spellEnd"/>
      <w:r>
        <w:rPr>
          <w:i/>
          <w:sz w:val="22"/>
          <w:szCs w:val="22"/>
        </w:rPr>
        <w:t xml:space="preserve"> </w:t>
      </w:r>
      <w:r>
        <w:rPr>
          <w:sz w:val="22"/>
          <w:szCs w:val="22"/>
        </w:rPr>
        <w:t xml:space="preserve">– балл предложения № </w:t>
      </w:r>
      <w:proofErr w:type="spellStart"/>
      <w:r>
        <w:rPr>
          <w:i/>
          <w:sz w:val="22"/>
          <w:szCs w:val="22"/>
          <w:lang w:val="en-US"/>
        </w:rPr>
        <w:t>i</w:t>
      </w:r>
      <w:proofErr w:type="spellEnd"/>
      <w:r>
        <w:rPr>
          <w:i/>
          <w:sz w:val="22"/>
          <w:szCs w:val="22"/>
        </w:rPr>
        <w:t>;</w:t>
      </w:r>
    </w:p>
    <w:p w:rsidR="00EC5DC8" w:rsidRDefault="00E9114E" w:rsidP="00EC5DC8">
      <w:pPr>
        <w:pStyle w:val="s04"/>
        <w:tabs>
          <w:tab w:val="left" w:pos="556"/>
        </w:tabs>
        <w:spacing w:before="0"/>
        <w:ind w:firstLine="709"/>
        <w:contextualSpacing/>
        <w:rPr>
          <w:szCs w:val="24"/>
        </w:rPr>
      </w:pPr>
      <m:oMath>
        <m:sSub>
          <m:sSubPr>
            <m:ctrlPr>
              <w:rPr>
                <w:rFonts w:ascii="Cambria Math" w:hAnsi="Cambria Math"/>
              </w:rPr>
            </m:ctrlPr>
          </m:sSubPr>
          <m:e>
            <m:r>
              <w:rPr>
                <w:rFonts w:ascii="Cambria Math" w:hAnsi="Cambria Math"/>
              </w:rPr>
              <m:t>З</m:t>
            </m:r>
          </m:e>
          <m:sub>
            <m:r>
              <m:rPr>
                <m:lit/>
                <m:nor/>
              </m:rPr>
              <w:rPr>
                <w:rFonts w:ascii="Cambria Math" w:hAnsi="Cambria Math"/>
              </w:rPr>
              <m:t>пр.</m:t>
            </m:r>
            <m:r>
              <w:rPr>
                <w:rFonts w:ascii="Cambria Math" w:hAnsi="Cambria Math"/>
              </w:rPr>
              <m:t>1</m:t>
            </m:r>
          </m:sub>
        </m:sSub>
      </m:oMath>
      <w:r w:rsidR="00EC5DC8">
        <w:rPr>
          <w:sz w:val="22"/>
          <w:szCs w:val="22"/>
        </w:rPr>
        <w:t xml:space="preserve"> – </w:t>
      </w:r>
      <w:r w:rsidR="00EC5DC8">
        <w:rPr>
          <w:szCs w:val="24"/>
        </w:rPr>
        <w:t>значение предложения № 1 (наилучшего предложения)</w:t>
      </w:r>
      <w:r w:rsidR="00EC5DC8" w:rsidRPr="00572CA5">
        <w:rPr>
          <w:szCs w:val="24"/>
        </w:rPr>
        <w:t xml:space="preserve"> </w:t>
      </w:r>
      <w:r w:rsidR="00EC5DC8">
        <w:rPr>
          <w:szCs w:val="24"/>
        </w:rPr>
        <w:t>–</w:t>
      </w:r>
      <w:r w:rsidR="00EC5DC8" w:rsidRPr="00572CA5">
        <w:rPr>
          <w:szCs w:val="24"/>
        </w:rPr>
        <w:t xml:space="preserve"> </w:t>
      </w:r>
      <w:r w:rsidR="00EC5DC8">
        <w:rPr>
          <w:szCs w:val="24"/>
        </w:rPr>
        <w:t xml:space="preserve">максимальное </w:t>
      </w:r>
      <w:r w:rsidR="00EC5DC8" w:rsidRPr="00572CA5">
        <w:rPr>
          <w:szCs w:val="24"/>
        </w:rPr>
        <w:t>из предложенных всеми претендентами значение данного показателя</w:t>
      </w:r>
      <w:r w:rsidR="00EC5DC8">
        <w:rPr>
          <w:szCs w:val="24"/>
        </w:rPr>
        <w:t>;</w:t>
      </w:r>
    </w:p>
    <w:p w:rsidR="00EC5DC8" w:rsidRDefault="00E9114E" w:rsidP="00EC5DC8">
      <w:pPr>
        <w:pStyle w:val="s04"/>
        <w:tabs>
          <w:tab w:val="left" w:pos="556"/>
        </w:tabs>
        <w:spacing w:before="0"/>
        <w:ind w:firstLine="709"/>
        <w:contextualSpacing/>
        <w:rPr>
          <w:szCs w:val="24"/>
        </w:rPr>
      </w:pPr>
      <m:oMath>
        <m:sSub>
          <m:sSubPr>
            <m:ctrlPr>
              <w:rPr>
                <w:rFonts w:ascii="Cambria Math" w:hAnsi="Cambria Math"/>
              </w:rPr>
            </m:ctrlPr>
          </m:sSubPr>
          <m:e>
            <m:r>
              <w:rPr>
                <w:rFonts w:ascii="Cambria Math" w:hAnsi="Cambria Math"/>
              </w:rPr>
              <m:t>З</m:t>
            </m:r>
          </m:e>
          <m:sub>
            <m:sSub>
              <m:sSubPr>
                <m:ctrlPr>
                  <w:rPr>
                    <w:rFonts w:ascii="Cambria Math" w:hAnsi="Cambria Math"/>
                  </w:rPr>
                </m:ctrlPr>
              </m:sSubPr>
              <m:e>
                <m:r>
                  <m:rPr>
                    <m:lit/>
                    <m:nor/>
                  </m:rPr>
                  <w:rPr>
                    <w:rFonts w:ascii="Cambria Math" w:hAnsi="Cambria Math"/>
                  </w:rPr>
                  <m:t>пр.</m:t>
                </m:r>
              </m:e>
              <m:sub>
                <m:r>
                  <w:rPr>
                    <w:rFonts w:ascii="Cambria Math" w:hAnsi="Cambria Math"/>
                  </w:rPr>
                  <m:t>i</m:t>
                </m:r>
              </m:sub>
            </m:sSub>
          </m:sub>
        </m:sSub>
      </m:oMath>
      <w:r w:rsidR="00EC5DC8">
        <w:rPr>
          <w:szCs w:val="24"/>
        </w:rPr>
        <w:t xml:space="preserve"> – значение предложения № </w:t>
      </w:r>
      <w:proofErr w:type="spellStart"/>
      <w:r w:rsidR="00EC5DC8">
        <w:rPr>
          <w:i/>
          <w:szCs w:val="24"/>
          <w:lang w:val="en-US"/>
        </w:rPr>
        <w:t>i</w:t>
      </w:r>
      <w:proofErr w:type="spellEnd"/>
      <w:r w:rsidR="00EC5DC8">
        <w:rPr>
          <w:i/>
          <w:szCs w:val="24"/>
        </w:rPr>
        <w:t>;</w:t>
      </w:r>
    </w:p>
    <w:p w:rsidR="00EC5DC8" w:rsidRDefault="00B77356" w:rsidP="00EC5DC8">
      <w:pPr>
        <w:contextualSpacing/>
      </w:pPr>
      <w:r>
        <w:t xml:space="preserve">               </w:t>
      </w:r>
      <w:r w:rsidR="00EC5DC8">
        <w:t>i - максимальный балл наилучшего предложения.</w:t>
      </w:r>
    </w:p>
    <w:p w:rsidR="00EC5DC8" w:rsidRPr="00156F86" w:rsidRDefault="00EC5DC8" w:rsidP="00EC5DC8">
      <w:pPr>
        <w:contextualSpacing/>
      </w:pPr>
    </w:p>
    <w:p w:rsidR="00EC5DC8" w:rsidRPr="00156F86" w:rsidRDefault="00EC5DC8" w:rsidP="00EC5DC8">
      <w:pPr>
        <w:rPr>
          <w:b/>
        </w:rPr>
      </w:pPr>
    </w:p>
    <w:p w:rsidR="00EC5DC8" w:rsidRPr="00F12DB7" w:rsidRDefault="00EC5DC8" w:rsidP="00EC5DC8">
      <w:pPr>
        <w:autoSpaceDE w:val="0"/>
        <w:autoSpaceDN w:val="0"/>
        <w:rPr>
          <w:b/>
        </w:rPr>
      </w:pPr>
      <w:r w:rsidRPr="00F12DB7">
        <w:rPr>
          <w:b/>
        </w:rPr>
        <w:t>Трудовые ресурсы – общее количество персонала, состоящего в штате организации</w:t>
      </w:r>
    </w:p>
    <w:p w:rsidR="00EC5DC8" w:rsidRPr="00EC5DC8" w:rsidRDefault="00EC5DC8" w:rsidP="00EC5DC8">
      <w:pPr>
        <w:autoSpaceDE w:val="0"/>
        <w:autoSpaceDN w:val="0"/>
        <w:rPr>
          <w:i/>
        </w:rPr>
      </w:pPr>
      <w:r w:rsidRPr="00EC5DC8">
        <w:rPr>
          <w:i/>
        </w:rPr>
        <w:t>(Количество персонала подтверждается заверенной выпиской из штатного расписания, по форме КНД 1110018)</w:t>
      </w:r>
    </w:p>
    <w:p w:rsidR="00EC5DC8" w:rsidRPr="00156F86" w:rsidRDefault="00EC5DC8" w:rsidP="00EC5DC8">
      <w:pPr>
        <w:autoSpaceDE w:val="0"/>
        <w:autoSpaceDN w:val="0"/>
      </w:pPr>
      <w:r w:rsidRPr="00156F86">
        <w:t xml:space="preserve">Оценивается на основании предоставленных данных участником закупочной процедуры в Приложении № </w:t>
      </w:r>
      <w:r w:rsidR="00A96FA0">
        <w:t>8</w:t>
      </w:r>
      <w:r>
        <w:t xml:space="preserve"> - Справка о трудовых ресурсах, справкой по форме </w:t>
      </w:r>
      <w:r w:rsidRPr="00572CA5">
        <w:t>КНД 1110018</w:t>
      </w:r>
      <w:r>
        <w:t>, выпиской из штатного расписания, заверенной генеральным директором.</w:t>
      </w:r>
    </w:p>
    <w:p w:rsidR="00EC5DC8" w:rsidRPr="00986C0E" w:rsidRDefault="00EC5DC8" w:rsidP="00EC5DC8">
      <w:pPr>
        <w:autoSpaceDE w:val="0"/>
        <w:autoSpaceDN w:val="0"/>
      </w:pPr>
      <w:r w:rsidRPr="00986C0E">
        <w:lastRenderedPageBreak/>
        <w:t>В случае не предоставления вышеуказанных документов, подтверждающих квалификацию специалистов, представленная информация в П</w:t>
      </w:r>
      <w:r w:rsidR="00A96FA0">
        <w:t>риложении № 8</w:t>
      </w:r>
      <w:r w:rsidRPr="00986C0E">
        <w:t xml:space="preserve"> - Справка о трудовых ресурсах не будет рассмотрена.</w:t>
      </w:r>
    </w:p>
    <w:p w:rsidR="00EC5DC8" w:rsidRDefault="00EC5DC8" w:rsidP="00EC5DC8">
      <w:pPr>
        <w:tabs>
          <w:tab w:val="left" w:pos="556"/>
        </w:tabs>
        <w:spacing w:before="120" w:after="120"/>
      </w:pPr>
      <w:r>
        <w:t>Баллы, присуждаемые</w:t>
      </w:r>
      <w:r w:rsidRPr="00156F86">
        <w:t xml:space="preserve"> заявке по критерию «</w:t>
      </w:r>
      <w:r w:rsidRPr="00C52B46">
        <w:t>Трудовые ресурсы</w:t>
      </w:r>
      <w:r>
        <w:t>» рассчитываю</w:t>
      </w:r>
      <w:r w:rsidRPr="00156F86">
        <w:t>тся по формуле:</w:t>
      </w:r>
    </w:p>
    <w:p w:rsidR="00EC5DC8" w:rsidRDefault="00EC5DC8" w:rsidP="00EC5DC8">
      <w:pPr>
        <w:pStyle w:val="s04"/>
        <w:tabs>
          <w:tab w:val="left" w:pos="0"/>
          <w:tab w:val="left" w:pos="556"/>
        </w:tabs>
        <w:spacing w:before="0"/>
        <w:ind w:firstLine="709"/>
        <w:contextualSpacing/>
        <w:rPr>
          <w:sz w:val="22"/>
          <w:szCs w:val="22"/>
        </w:rPr>
      </w:pPr>
    </w:p>
    <w:p w:rsidR="00EC5DC8" w:rsidRPr="00465F93" w:rsidRDefault="00EC5DC8" w:rsidP="00EC5DC8">
      <w:pPr>
        <w:pStyle w:val="a4"/>
        <w:tabs>
          <w:tab w:val="left" w:pos="556"/>
        </w:tabs>
        <w:ind w:left="0"/>
        <w:jc w:val="center"/>
        <w:rPr>
          <w:b/>
          <w:bCs/>
        </w:rPr>
      </w:pPr>
      <w:proofErr w:type="spellStart"/>
      <m:oMathPara>
        <m:oMath>
          <m:r>
            <m:rPr>
              <m:lit/>
              <m:nor/>
            </m:rPr>
            <w:rPr>
              <w:rFonts w:ascii="Cambria Math" w:hAnsi="Cambria Math"/>
            </w:rPr>
            <m:t>Бi</m:t>
          </m:r>
          <w:proofErr w:type="spellEnd"/>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З</m:t>
                  </m:r>
                </m:e>
                <m:sub>
                  <m:r>
                    <m:rPr>
                      <m:lit/>
                      <m:nor/>
                    </m:rPr>
                    <w:rPr>
                      <w:rFonts w:ascii="Cambria Math" w:hAnsi="Cambria Math"/>
                    </w:rPr>
                    <m:t>пр.</m:t>
                  </m:r>
                  <m:r>
                    <w:rPr>
                      <w:rFonts w:ascii="Cambria Math" w:hAnsi="Cambria Math"/>
                    </w:rPr>
                    <m:t>i</m:t>
                  </m:r>
                </m:sub>
              </m:sSub>
            </m:num>
            <m:den>
              <m:sSub>
                <m:sSubPr>
                  <m:ctrlPr>
                    <w:rPr>
                      <w:rFonts w:ascii="Cambria Math" w:hAnsi="Cambria Math"/>
                    </w:rPr>
                  </m:ctrlPr>
                </m:sSubPr>
                <m:e>
                  <m:r>
                    <w:rPr>
                      <w:rFonts w:ascii="Cambria Math" w:hAnsi="Cambria Math"/>
                    </w:rPr>
                    <m:t>З</m:t>
                  </m:r>
                </m:e>
                <m:sub>
                  <m:r>
                    <m:rPr>
                      <m:lit/>
                      <m:nor/>
                    </m:rPr>
                    <w:rPr>
                      <w:rFonts w:ascii="Cambria Math" w:hAnsi="Cambria Math"/>
                    </w:rPr>
                    <m:t>пр</m:t>
                  </m:r>
                  <m:r>
                    <w:rPr>
                      <w:rFonts w:ascii="Cambria Math" w:hAnsi="Cambria Math"/>
                    </w:rPr>
                    <m:t>1</m:t>
                  </m:r>
                  <m:r>
                    <m:rPr>
                      <m:lit/>
                      <m:nor/>
                    </m:rPr>
                    <w:rPr>
                      <w:rFonts w:ascii="Cambria Math" w:hAnsi="Cambria Math"/>
                    </w:rPr>
                    <m:t>.</m:t>
                  </m:r>
                </m:sub>
              </m:sSub>
            </m:den>
          </m:f>
          <m:r>
            <w:rPr>
              <w:rFonts w:ascii="Cambria Math" w:hAnsi="Cambria Math"/>
            </w:rPr>
            <m:t>×</m:t>
          </m:r>
          <m:r>
            <w:rPr>
              <w:rFonts w:ascii="Cambria Math" w:hAnsi="Cambria Math"/>
              <w:lang w:val="en-US"/>
            </w:rPr>
            <m:t>i</m:t>
          </m:r>
          <m:r>
            <w:rPr>
              <w:rFonts w:ascii="Cambria Math" w:hAnsi="Cambria Math"/>
            </w:rPr>
            <m:t>,</m:t>
          </m:r>
        </m:oMath>
      </m:oMathPara>
    </w:p>
    <w:p w:rsidR="00EC5DC8" w:rsidRPr="00EC5DC8" w:rsidRDefault="00EC5DC8" w:rsidP="00EC5DC8">
      <w:pPr>
        <w:pStyle w:val="s04"/>
        <w:tabs>
          <w:tab w:val="left" w:pos="556"/>
        </w:tabs>
        <w:spacing w:before="0"/>
        <w:ind w:firstLine="709"/>
        <w:contextualSpacing/>
        <w:rPr>
          <w:rFonts w:asciiTheme="minorHAnsi" w:hAnsiTheme="minorHAnsi" w:cstheme="minorHAnsi"/>
          <w:sz w:val="22"/>
          <w:szCs w:val="22"/>
        </w:rPr>
      </w:pPr>
      <w:r w:rsidRPr="00EC5DC8">
        <w:rPr>
          <w:rFonts w:asciiTheme="minorHAnsi" w:hAnsiTheme="minorHAnsi" w:cstheme="minorHAnsi"/>
          <w:sz w:val="22"/>
          <w:szCs w:val="22"/>
        </w:rPr>
        <w:t>где:</w:t>
      </w:r>
    </w:p>
    <w:p w:rsidR="00EC5DC8" w:rsidRPr="00EC5DC8" w:rsidRDefault="00EC5DC8" w:rsidP="00EC5DC8">
      <w:pPr>
        <w:pStyle w:val="s04"/>
        <w:tabs>
          <w:tab w:val="left" w:pos="556"/>
        </w:tabs>
        <w:spacing w:before="0"/>
        <w:ind w:firstLine="709"/>
        <w:contextualSpacing/>
        <w:rPr>
          <w:rFonts w:asciiTheme="minorHAnsi" w:hAnsiTheme="minorHAnsi" w:cstheme="minorHAnsi"/>
          <w:sz w:val="22"/>
          <w:szCs w:val="22"/>
        </w:rPr>
      </w:pPr>
      <w:proofErr w:type="spellStart"/>
      <m:oMath>
        <m:r>
          <m:rPr>
            <m:lit/>
            <m:nor/>
          </m:rPr>
          <w:rPr>
            <w:rFonts w:asciiTheme="minorHAnsi" w:hAnsiTheme="minorHAnsi" w:cstheme="minorHAnsi"/>
          </w:rPr>
          <m:t>Бi</m:t>
        </m:r>
      </m:oMath>
      <w:proofErr w:type="spellEnd"/>
      <w:r w:rsidRPr="00EC5DC8">
        <w:rPr>
          <w:rFonts w:asciiTheme="minorHAnsi" w:hAnsiTheme="minorHAnsi" w:cstheme="minorHAnsi"/>
          <w:i/>
          <w:sz w:val="22"/>
          <w:szCs w:val="22"/>
        </w:rPr>
        <w:t xml:space="preserve"> </w:t>
      </w:r>
      <w:r w:rsidRPr="00EC5DC8">
        <w:rPr>
          <w:rFonts w:asciiTheme="minorHAnsi" w:hAnsiTheme="minorHAnsi" w:cstheme="minorHAnsi"/>
          <w:sz w:val="22"/>
          <w:szCs w:val="22"/>
        </w:rPr>
        <w:t xml:space="preserve">– балл предложения № </w:t>
      </w:r>
      <w:proofErr w:type="spellStart"/>
      <w:r w:rsidRPr="00EC5DC8">
        <w:rPr>
          <w:rFonts w:asciiTheme="minorHAnsi" w:hAnsiTheme="minorHAnsi" w:cstheme="minorHAnsi"/>
          <w:i/>
          <w:sz w:val="22"/>
          <w:szCs w:val="22"/>
          <w:lang w:val="en-US"/>
        </w:rPr>
        <w:t>i</w:t>
      </w:r>
      <w:proofErr w:type="spellEnd"/>
      <w:r w:rsidRPr="00EC5DC8">
        <w:rPr>
          <w:rFonts w:asciiTheme="minorHAnsi" w:hAnsiTheme="minorHAnsi" w:cstheme="minorHAnsi"/>
          <w:i/>
          <w:sz w:val="22"/>
          <w:szCs w:val="22"/>
        </w:rPr>
        <w:t>;</w:t>
      </w:r>
    </w:p>
    <w:p w:rsidR="00EC5DC8" w:rsidRPr="00EC5DC8" w:rsidRDefault="00E9114E" w:rsidP="00EC5DC8">
      <w:pPr>
        <w:pStyle w:val="s04"/>
        <w:tabs>
          <w:tab w:val="left" w:pos="556"/>
        </w:tabs>
        <w:spacing w:before="0"/>
        <w:ind w:firstLine="709"/>
        <w:contextualSpacing/>
        <w:rPr>
          <w:rFonts w:asciiTheme="minorHAnsi" w:hAnsiTheme="minorHAnsi" w:cstheme="minorHAnsi"/>
          <w:szCs w:val="24"/>
        </w:rPr>
      </w:pPr>
      <m:oMath>
        <m:sSub>
          <m:sSubPr>
            <m:ctrlPr>
              <w:rPr>
                <w:rFonts w:ascii="Cambria Math" w:hAnsi="Cambria Math" w:cstheme="minorHAnsi"/>
              </w:rPr>
            </m:ctrlPr>
          </m:sSubPr>
          <m:e>
            <m:r>
              <w:rPr>
                <w:rFonts w:ascii="Cambria Math" w:hAnsi="Cambria Math" w:cstheme="minorHAnsi"/>
              </w:rPr>
              <m:t>З</m:t>
            </m:r>
          </m:e>
          <m:sub>
            <m:r>
              <m:rPr>
                <m:lit/>
                <m:nor/>
              </m:rPr>
              <w:rPr>
                <w:rFonts w:asciiTheme="minorHAnsi" w:hAnsiTheme="minorHAnsi" w:cstheme="minorHAnsi"/>
              </w:rPr>
              <m:t>пр.</m:t>
            </m:r>
            <m:r>
              <w:rPr>
                <w:rFonts w:ascii="Cambria Math" w:hAnsi="Cambria Math" w:cstheme="minorHAnsi"/>
              </w:rPr>
              <m:t>1</m:t>
            </m:r>
          </m:sub>
        </m:sSub>
      </m:oMath>
      <w:r w:rsidR="00EC5DC8" w:rsidRPr="00EC5DC8">
        <w:rPr>
          <w:rFonts w:asciiTheme="minorHAnsi" w:hAnsiTheme="minorHAnsi" w:cstheme="minorHAnsi"/>
          <w:sz w:val="22"/>
          <w:szCs w:val="22"/>
        </w:rPr>
        <w:t xml:space="preserve"> – </w:t>
      </w:r>
      <w:r w:rsidR="00EC5DC8" w:rsidRPr="00EC5DC8">
        <w:rPr>
          <w:rFonts w:asciiTheme="minorHAnsi" w:hAnsiTheme="minorHAnsi" w:cstheme="minorHAnsi"/>
          <w:szCs w:val="24"/>
        </w:rPr>
        <w:t>значение предложения № 1 (наилучшего предложения) – максимальное из предложенных всеми претендентами значение данного показателя;</w:t>
      </w:r>
    </w:p>
    <w:p w:rsidR="00EC5DC8" w:rsidRPr="00EC5DC8" w:rsidRDefault="00E9114E" w:rsidP="00EC5DC8">
      <w:pPr>
        <w:pStyle w:val="s04"/>
        <w:tabs>
          <w:tab w:val="left" w:pos="556"/>
        </w:tabs>
        <w:spacing w:before="0"/>
        <w:ind w:firstLine="709"/>
        <w:contextualSpacing/>
        <w:rPr>
          <w:rFonts w:asciiTheme="minorHAnsi" w:hAnsiTheme="minorHAnsi" w:cstheme="minorHAnsi"/>
          <w:szCs w:val="24"/>
        </w:rPr>
      </w:pPr>
      <m:oMath>
        <m:sSub>
          <m:sSubPr>
            <m:ctrlPr>
              <w:rPr>
                <w:rFonts w:ascii="Cambria Math" w:hAnsi="Cambria Math" w:cstheme="minorHAnsi"/>
              </w:rPr>
            </m:ctrlPr>
          </m:sSubPr>
          <m:e>
            <m:r>
              <w:rPr>
                <w:rFonts w:ascii="Cambria Math" w:hAnsi="Cambria Math" w:cstheme="minorHAnsi"/>
              </w:rPr>
              <m:t>З</m:t>
            </m:r>
          </m:e>
          <m:sub>
            <m:sSub>
              <m:sSubPr>
                <m:ctrlPr>
                  <w:rPr>
                    <w:rFonts w:ascii="Cambria Math" w:hAnsi="Cambria Math" w:cstheme="minorHAnsi"/>
                  </w:rPr>
                </m:ctrlPr>
              </m:sSubPr>
              <m:e>
                <m:r>
                  <m:rPr>
                    <m:lit/>
                    <m:nor/>
                  </m:rPr>
                  <w:rPr>
                    <w:rFonts w:asciiTheme="minorHAnsi" w:hAnsiTheme="minorHAnsi" w:cstheme="minorHAnsi"/>
                  </w:rPr>
                  <m:t>пр.</m:t>
                </m:r>
              </m:e>
              <m:sub>
                <m:r>
                  <w:rPr>
                    <w:rFonts w:ascii="Cambria Math" w:hAnsi="Cambria Math" w:cstheme="minorHAnsi"/>
                  </w:rPr>
                  <m:t>i</m:t>
                </m:r>
              </m:sub>
            </m:sSub>
          </m:sub>
        </m:sSub>
      </m:oMath>
      <w:r w:rsidR="00EC5DC8" w:rsidRPr="00EC5DC8">
        <w:rPr>
          <w:rFonts w:asciiTheme="minorHAnsi" w:hAnsiTheme="minorHAnsi" w:cstheme="minorHAnsi"/>
          <w:szCs w:val="24"/>
        </w:rPr>
        <w:t xml:space="preserve"> – значение предложения № </w:t>
      </w:r>
      <w:proofErr w:type="spellStart"/>
      <w:r w:rsidR="00EC5DC8" w:rsidRPr="00EC5DC8">
        <w:rPr>
          <w:rFonts w:asciiTheme="minorHAnsi" w:hAnsiTheme="minorHAnsi" w:cstheme="minorHAnsi"/>
          <w:i/>
          <w:szCs w:val="24"/>
          <w:lang w:val="en-US"/>
        </w:rPr>
        <w:t>i</w:t>
      </w:r>
      <w:proofErr w:type="spellEnd"/>
      <w:r w:rsidR="00EC5DC8" w:rsidRPr="00EC5DC8">
        <w:rPr>
          <w:rFonts w:asciiTheme="minorHAnsi" w:hAnsiTheme="minorHAnsi" w:cstheme="minorHAnsi"/>
          <w:i/>
          <w:szCs w:val="24"/>
        </w:rPr>
        <w:t>;</w:t>
      </w:r>
    </w:p>
    <w:p w:rsidR="00EC5DC8" w:rsidRPr="00EC5DC8" w:rsidRDefault="00EC5DC8" w:rsidP="00EC5DC8">
      <w:pPr>
        <w:contextualSpacing/>
        <w:rPr>
          <w:rFonts w:cstheme="minorHAnsi"/>
        </w:rPr>
      </w:pPr>
      <w:r w:rsidRPr="00EC5DC8">
        <w:rPr>
          <w:rFonts w:cstheme="minorHAnsi"/>
        </w:rPr>
        <w:t>i - максимальный балл наилучшего предложения.</w:t>
      </w:r>
    </w:p>
    <w:p w:rsidR="00EC5DC8" w:rsidRPr="00EC5DC8" w:rsidRDefault="00EC5DC8" w:rsidP="00EC5DC8">
      <w:pPr>
        <w:shd w:val="clear" w:color="auto" w:fill="FFFFFF"/>
        <w:rPr>
          <w:rFonts w:cstheme="minorHAnsi"/>
          <w:b/>
        </w:rPr>
      </w:pPr>
    </w:p>
    <w:p w:rsidR="00EC5DC8" w:rsidRPr="00EC5DC8" w:rsidRDefault="00EC5DC8" w:rsidP="00EC5DC8">
      <w:pPr>
        <w:shd w:val="clear" w:color="auto" w:fill="FFFFFF"/>
        <w:rPr>
          <w:rFonts w:cstheme="minorHAnsi"/>
          <w:b/>
        </w:rPr>
      </w:pPr>
      <w:r w:rsidRPr="00EC5DC8">
        <w:rPr>
          <w:rFonts w:cstheme="minorHAnsi"/>
          <w:b/>
        </w:rPr>
        <w:t>2 этап тендера: проведение переторжки с выбором контрагента по максимальному баллу критериев оценки (цена договора + качество работ и квалификация участника), при условии его соответствия иным требованиям тендера.</w:t>
      </w:r>
    </w:p>
    <w:p w:rsidR="00EC5DC8" w:rsidRPr="003A5758" w:rsidRDefault="00EC5DC8" w:rsidP="00EC5DC8">
      <w:pPr>
        <w:contextualSpacing/>
        <w:jc w:val="both"/>
        <w:rPr>
          <w:bCs/>
          <w:i/>
        </w:rPr>
      </w:pPr>
    </w:p>
    <w:p w:rsidR="00EC5DC8" w:rsidRDefault="00EC5DC8" w:rsidP="00EC5DC8">
      <w:pPr>
        <w:tabs>
          <w:tab w:val="num" w:pos="1420"/>
        </w:tabs>
      </w:pPr>
    </w:p>
    <w:p w:rsidR="00EC5DC8" w:rsidRPr="00FA4A1A" w:rsidRDefault="00EC5DC8" w:rsidP="00EC5DC8">
      <w:pPr>
        <w:tabs>
          <w:tab w:val="num" w:pos="1420"/>
        </w:tabs>
        <w:rPr>
          <w:b/>
          <w:bCs/>
        </w:rPr>
      </w:pPr>
      <w:r w:rsidRPr="00FA4A1A">
        <w:rPr>
          <w:b/>
          <w:bCs/>
        </w:rPr>
        <w:t>Расчет общего балла предложения происходит по следующей формуле:</w:t>
      </w:r>
    </w:p>
    <w:p w:rsidR="00EC5DC8" w:rsidRPr="00FA4A1A" w:rsidRDefault="00EC5DC8" w:rsidP="00EC5DC8">
      <w:pPr>
        <w:ind w:firstLine="567"/>
        <w:jc w:val="center"/>
        <w:rPr>
          <w:bCs/>
        </w:rPr>
      </w:pPr>
      <w:r w:rsidRPr="00FA4A1A">
        <w:rPr>
          <w:bCs/>
          <w:position w:val="-30"/>
        </w:rPr>
        <w:object w:dxaOrig="1700" w:dyaOrig="700">
          <v:shape id="_x0000_i1034" type="#_x0000_t75" style="width:84.75pt;height:35.25pt" o:ole="">
            <v:imagedata r:id="rId23" o:title=""/>
          </v:shape>
          <o:OLEObject Type="Embed" ProgID="Equation.3" ShapeID="_x0000_i1034" DrawAspect="Content" ObjectID="_1763374407" r:id="rId24"/>
        </w:object>
      </w:r>
    </w:p>
    <w:p w:rsidR="00EC5DC8" w:rsidRPr="00FA4A1A" w:rsidRDefault="00EC5DC8" w:rsidP="00EC5DC8">
      <w:pPr>
        <w:rPr>
          <w:bCs/>
        </w:rPr>
      </w:pPr>
      <w:r w:rsidRPr="00FA4A1A">
        <w:rPr>
          <w:bCs/>
        </w:rPr>
        <w:t xml:space="preserve">где ОБ – общий балл, </w:t>
      </w:r>
      <w:r w:rsidRPr="00FA4A1A">
        <w:rPr>
          <w:bCs/>
          <w:lang w:val="en-US"/>
        </w:rPr>
        <w:t>W</w:t>
      </w:r>
      <w:r w:rsidRPr="00FA4A1A">
        <w:rPr>
          <w:bCs/>
        </w:rPr>
        <w:t xml:space="preserve"> – вес критерия, </w:t>
      </w:r>
      <w:r w:rsidRPr="00FA4A1A">
        <w:rPr>
          <w:bCs/>
          <w:lang w:val="en-US"/>
        </w:rPr>
        <w:t>C</w:t>
      </w:r>
      <w:r w:rsidRPr="00FA4A1A">
        <w:rPr>
          <w:bCs/>
        </w:rPr>
        <w:t xml:space="preserve"> – значение критерия, </w:t>
      </w:r>
      <w:r w:rsidRPr="00FA4A1A">
        <w:rPr>
          <w:bCs/>
          <w:lang w:val="en-US"/>
        </w:rPr>
        <w:t>j</w:t>
      </w:r>
      <w:r w:rsidRPr="00FA4A1A">
        <w:rPr>
          <w:bCs/>
        </w:rPr>
        <w:t xml:space="preserve"> – количество критериев.</w:t>
      </w:r>
    </w:p>
    <w:p w:rsidR="00EC5DC8" w:rsidRPr="00FA4A1A" w:rsidRDefault="00EC5DC8" w:rsidP="004001C7">
      <w:pPr>
        <w:widowControl w:val="0"/>
        <w:tabs>
          <w:tab w:val="left" w:pos="360"/>
        </w:tabs>
        <w:autoSpaceDE w:val="0"/>
        <w:autoSpaceDN w:val="0"/>
        <w:adjustRightInd w:val="0"/>
        <w:spacing w:before="120"/>
        <w:jc w:val="both"/>
      </w:pPr>
      <w:r w:rsidRPr="00FA4A1A">
        <w:t xml:space="preserve">При </w:t>
      </w:r>
      <w:r w:rsidRPr="00FA4A1A">
        <w:rPr>
          <w:bCs/>
        </w:rPr>
        <w:t>оценке</w:t>
      </w:r>
      <w:r w:rsidRPr="00FA4A1A">
        <w:t xml:space="preserve"> заявок по критерию «Качество работ и квалификация участника многоэтапного тендера», наибольшее количество баллов присваивается заявке с лучшим предложением по качеству работ и квалификации участника многоэтапного тендера.</w:t>
      </w:r>
    </w:p>
    <w:p w:rsidR="00EC5DC8" w:rsidRPr="00FA4A1A" w:rsidRDefault="00EC5DC8" w:rsidP="004001C7">
      <w:pPr>
        <w:widowControl w:val="0"/>
        <w:tabs>
          <w:tab w:val="left" w:pos="360"/>
        </w:tabs>
        <w:autoSpaceDE w:val="0"/>
        <w:autoSpaceDN w:val="0"/>
        <w:adjustRightInd w:val="0"/>
        <w:jc w:val="both"/>
      </w:pPr>
      <w:r w:rsidRPr="00FA4A1A">
        <w:t xml:space="preserve">По </w:t>
      </w:r>
      <w:r w:rsidRPr="00FA4A1A">
        <w:rPr>
          <w:bCs/>
        </w:rPr>
        <w:t>результатам</w:t>
      </w:r>
      <w:r w:rsidRPr="00FA4A1A">
        <w:t xml:space="preserve"> оценки и сопоставления заявок осуществляется расчёт итогового рейтинга (оценку в баллах) по каждой заявке. Итоговый рейтинг заявки рассчитывается путём сложения рейтингов по каждому критерию оценки заявки, установленному в конкурсной документации, умноженных на их значимость.</w:t>
      </w:r>
    </w:p>
    <w:p w:rsidR="00EC5DC8" w:rsidRPr="00FA4A1A" w:rsidRDefault="00EC5DC8" w:rsidP="004001C7">
      <w:pPr>
        <w:widowControl w:val="0"/>
        <w:tabs>
          <w:tab w:val="left" w:pos="360"/>
        </w:tabs>
        <w:autoSpaceDE w:val="0"/>
        <w:autoSpaceDN w:val="0"/>
        <w:adjustRightInd w:val="0"/>
        <w:jc w:val="both"/>
      </w:pPr>
      <w:r w:rsidRPr="00FA4A1A">
        <w:rPr>
          <w:bCs/>
        </w:rPr>
        <w:t>Присуждение</w:t>
      </w:r>
      <w:r w:rsidRPr="00FA4A1A">
        <w:t xml:space="preserve">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w:t>
      </w:r>
    </w:p>
    <w:p w:rsidR="00EC5DC8" w:rsidRDefault="00EC5DC8" w:rsidP="004001C7">
      <w:pPr>
        <w:widowControl w:val="0"/>
        <w:tabs>
          <w:tab w:val="left" w:pos="360"/>
        </w:tabs>
        <w:autoSpaceDE w:val="0"/>
        <w:autoSpaceDN w:val="0"/>
        <w:adjustRightInd w:val="0"/>
        <w:jc w:val="both"/>
      </w:pPr>
      <w:r w:rsidRPr="00FA4A1A">
        <w:t>Заявке, набравшей наибольший итоговый рейтинг,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Победителем многоэтапного тендера признается участник, который предложил лучшие условия исполнения договора в соответствии с критериями оценки и заявке которого присвоен первый номер.</w:t>
      </w:r>
    </w:p>
    <w:p w:rsidR="00EC5DC8" w:rsidRPr="00EC5DC8" w:rsidRDefault="00EC5DC8">
      <w:pPr>
        <w:rPr>
          <w:b/>
          <w:sz w:val="24"/>
          <w:szCs w:val="24"/>
          <w:u w:val="single"/>
        </w:rPr>
      </w:pPr>
    </w:p>
    <w:sectPr w:rsidR="00EC5DC8" w:rsidRPr="00EC5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258BD"/>
    <w:multiLevelType w:val="hybridMultilevel"/>
    <w:tmpl w:val="1B2CB03E"/>
    <w:lvl w:ilvl="0" w:tplc="AED22AFA">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start w:val="1"/>
      <w:numFmt w:val="lowerRoman"/>
      <w:lvlText w:val="%9."/>
      <w:lvlJc w:val="right"/>
      <w:pPr>
        <w:ind w:left="63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D6"/>
    <w:rsid w:val="00015DD6"/>
    <w:rsid w:val="00062247"/>
    <w:rsid w:val="00082194"/>
    <w:rsid w:val="000A7371"/>
    <w:rsid w:val="001357FD"/>
    <w:rsid w:val="00262153"/>
    <w:rsid w:val="004001C7"/>
    <w:rsid w:val="004236D5"/>
    <w:rsid w:val="0051025A"/>
    <w:rsid w:val="00596E91"/>
    <w:rsid w:val="005D6ECD"/>
    <w:rsid w:val="00613D31"/>
    <w:rsid w:val="006450B8"/>
    <w:rsid w:val="00657D1B"/>
    <w:rsid w:val="00664982"/>
    <w:rsid w:val="006D3EB4"/>
    <w:rsid w:val="0071400D"/>
    <w:rsid w:val="007A3F0A"/>
    <w:rsid w:val="007B253F"/>
    <w:rsid w:val="00934061"/>
    <w:rsid w:val="009874A8"/>
    <w:rsid w:val="009C3146"/>
    <w:rsid w:val="00A71421"/>
    <w:rsid w:val="00A96FA0"/>
    <w:rsid w:val="00B20E8D"/>
    <w:rsid w:val="00B5756D"/>
    <w:rsid w:val="00B77356"/>
    <w:rsid w:val="00D77B69"/>
    <w:rsid w:val="00E9114E"/>
    <w:rsid w:val="00EB0738"/>
    <w:rsid w:val="00EC5DC8"/>
    <w:rsid w:val="00F25340"/>
    <w:rsid w:val="00FE0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4F0F"/>
  <w15:chartTrackingRefBased/>
  <w15:docId w15:val="{A5BEEF17-3161-45D2-8B73-1116D4E2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5DD6"/>
    <w:rPr>
      <w:color w:val="0563C1" w:themeColor="hyperlink"/>
      <w:u w:val="single"/>
    </w:rPr>
  </w:style>
  <w:style w:type="paragraph" w:styleId="a4">
    <w:name w:val="List Paragraph"/>
    <w:aliases w:val="Заголовок_3,Подпись рисунка,ПКФ Список,Абзац списка5,1 Текст,1 Paragraph,Lvl 1 Bullet,Johan bulletList Paragraph,Алроса_маркер (Уровень 4),Маркер,ПАРАГРАФ,Lists,FooterText,numbered,Paragraphe de liste1,Bulletr List Paragraph,列出段落,列出段落1"/>
    <w:basedOn w:val="a"/>
    <w:link w:val="a5"/>
    <w:uiPriority w:val="99"/>
    <w:qFormat/>
    <w:rsid w:val="00EC5DC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04">
    <w:name w:val="s04 подПункт"/>
    <w:basedOn w:val="a"/>
    <w:link w:val="s040"/>
    <w:qFormat/>
    <w:rsid w:val="00EC5DC8"/>
    <w:pPr>
      <w:tabs>
        <w:tab w:val="left" w:pos="851"/>
        <w:tab w:val="left" w:pos="1276"/>
        <w:tab w:val="num" w:pos="1420"/>
      </w:tabs>
      <w:spacing w:before="60" w:after="0" w:line="240" w:lineRule="auto"/>
      <w:ind w:firstLine="340"/>
      <w:jc w:val="both"/>
      <w:outlineLvl w:val="3"/>
    </w:pPr>
    <w:rPr>
      <w:rFonts w:ascii="Times New Roman" w:eastAsia="Times New Roman" w:hAnsi="Times New Roman" w:cs="Times New Roman"/>
      <w:bCs/>
      <w:sz w:val="24"/>
      <w:szCs w:val="20"/>
      <w:lang w:eastAsia="ru-RU"/>
    </w:rPr>
  </w:style>
  <w:style w:type="character" w:customStyle="1" w:styleId="s040">
    <w:name w:val="s04 подПункт Знак"/>
    <w:basedOn w:val="a0"/>
    <w:link w:val="s04"/>
    <w:rsid w:val="00EC5DC8"/>
    <w:rPr>
      <w:rFonts w:ascii="Times New Roman" w:eastAsia="Times New Roman" w:hAnsi="Times New Roman" w:cs="Times New Roman"/>
      <w:bCs/>
      <w:sz w:val="24"/>
      <w:szCs w:val="20"/>
      <w:lang w:eastAsia="ru-RU"/>
    </w:rPr>
  </w:style>
  <w:style w:type="table" w:styleId="a6">
    <w:name w:val="Table Grid"/>
    <w:basedOn w:val="a1"/>
    <w:uiPriority w:val="59"/>
    <w:rsid w:val="00EC5D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Caaieiaie aeaau"/>
    <w:basedOn w:val="a"/>
    <w:link w:val="a8"/>
    <w:uiPriority w:val="99"/>
    <w:rsid w:val="00EC5DC8"/>
    <w:pPr>
      <w:spacing w:after="0" w:line="240" w:lineRule="auto"/>
      <w:jc w:val="both"/>
    </w:pPr>
    <w:rPr>
      <w:rFonts w:ascii="Times New Roman" w:eastAsia="Times New Roman" w:hAnsi="Times New Roman" w:cs="Times New Roman"/>
      <w:color w:val="000000"/>
      <w:sz w:val="24"/>
      <w:szCs w:val="20"/>
      <w:lang w:eastAsia="ru-RU"/>
    </w:rPr>
  </w:style>
  <w:style w:type="character" w:customStyle="1" w:styleId="a8">
    <w:name w:val="Основной текст Знак"/>
    <w:aliases w:val="Caaieiaie aeaau Знак"/>
    <w:basedOn w:val="a0"/>
    <w:link w:val="a7"/>
    <w:uiPriority w:val="99"/>
    <w:rsid w:val="00EC5DC8"/>
    <w:rPr>
      <w:rFonts w:ascii="Times New Roman" w:eastAsia="Times New Roman" w:hAnsi="Times New Roman" w:cs="Times New Roman"/>
      <w:color w:val="000000"/>
      <w:sz w:val="24"/>
      <w:szCs w:val="20"/>
      <w:lang w:eastAsia="ru-RU"/>
    </w:rPr>
  </w:style>
  <w:style w:type="character" w:customStyle="1" w:styleId="a5">
    <w:name w:val="Абзац списка Знак"/>
    <w:aliases w:val="Заголовок_3 Знак,Подпись рисунка Знак,ПКФ Список Знак,Абзац списка5 Знак,1 Текст Знак,1 Paragraph Знак,Lvl 1 Bullet Знак,Johan bulletList Paragraph Знак,Алроса_маркер (Уровень 4) Знак,Маркер Знак,ПАРАГРАФ Знак,Lists Знак,numbered Знак"/>
    <w:link w:val="a4"/>
    <w:uiPriority w:val="99"/>
    <w:qFormat/>
    <w:locked/>
    <w:rsid w:val="00EC5D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8</Pages>
  <Words>3082</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AO SUEK</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Подосенова Ольга Николаевна</dc:creator>
  <cp:keywords/>
  <dc:description/>
  <cp:lastModifiedBy>Подосенова Ольга Николаевна</cp:lastModifiedBy>
  <cp:revision>29</cp:revision>
  <dcterms:created xsi:type="dcterms:W3CDTF">2023-11-21T09:12:00Z</dcterms:created>
  <dcterms:modified xsi:type="dcterms:W3CDTF">2023-12-06T10:27:00Z</dcterms:modified>
</cp:coreProperties>
</file>