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AF5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668"/>
      </w:tblGrid>
      <w:tr w:rsidR="00073263" w14:paraId="0F263638" w14:textId="77777777" w:rsidTr="004D7F15">
        <w:trPr>
          <w:trHeight w:val="691"/>
        </w:trPr>
        <w:tc>
          <w:tcPr>
            <w:tcW w:w="924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31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78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B1208F2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7DEE21FF" w14:textId="0C6B51D2" w:rsidR="00130F82" w:rsidRPr="00130F82" w:rsidRDefault="00C831DE" w:rsidP="005B28D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073263">
              <w:rPr>
                <w:sz w:val="24"/>
                <w:szCs w:val="24"/>
                <w:lang w:eastAsia="ru-RU"/>
              </w:rPr>
              <w:t xml:space="preserve">ыполнение </w:t>
            </w:r>
            <w:r w:rsidRPr="0030245E">
              <w:rPr>
                <w:sz w:val="24"/>
                <w:szCs w:val="24"/>
                <w:lang w:eastAsia="ru-RU"/>
              </w:rPr>
              <w:t xml:space="preserve">комплекса работ </w:t>
            </w:r>
            <w:r w:rsidR="005B28D8">
              <w:rPr>
                <w:sz w:val="24"/>
                <w:szCs w:val="24"/>
                <w:lang w:eastAsia="ru-RU"/>
              </w:rPr>
              <w:t>по</w:t>
            </w:r>
            <w:r w:rsidR="005B28D8">
              <w:rPr>
                <w:sz w:val="24"/>
                <w:szCs w:val="24"/>
                <w:lang w:eastAsia="ru-RU"/>
              </w:rPr>
              <w:t xml:space="preserve"> устройств</w:t>
            </w:r>
            <w:r w:rsidR="005B28D8">
              <w:rPr>
                <w:sz w:val="24"/>
                <w:szCs w:val="24"/>
                <w:lang w:eastAsia="ru-RU"/>
              </w:rPr>
              <w:t>у</w:t>
            </w:r>
            <w:r w:rsidR="005B28D8">
              <w:rPr>
                <w:sz w:val="24"/>
                <w:szCs w:val="24"/>
                <w:lang w:eastAsia="ru-RU"/>
              </w:rPr>
              <w:t xml:space="preserve"> озеленения и автоматической системы орошения.</w:t>
            </w:r>
            <w:bookmarkStart w:id="0" w:name="_GoBack"/>
            <w:bookmarkEnd w:id="0"/>
          </w:p>
        </w:tc>
      </w:tr>
      <w:tr w:rsidR="00130F82" w14:paraId="4B03DC9C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5A77F43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5CA1CAE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15BB3C45" w14:textId="3D30D3FC" w:rsidR="00130F82" w:rsidRPr="00130F82" w:rsidRDefault="007F504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Pr="005E6D67">
              <w:rPr>
                <w:sz w:val="24"/>
                <w:szCs w:val="24"/>
                <w:lang w:eastAsia="ru-RU"/>
              </w:rPr>
              <w:t>илой комплекс (включая школу на 200 мест и дошкольное отделение на 50 мест)</w:t>
            </w:r>
          </w:p>
        </w:tc>
      </w:tr>
      <w:tr w:rsidR="00073263" w14:paraId="219247CF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E3339B1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3E392028" w14:textId="77777777" w:rsidR="00073263" w:rsidRPr="00C661F6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309364E4" w14:textId="19E4B177" w:rsidR="00073263" w:rsidRPr="002B2E78" w:rsidRDefault="007F504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5E6D67">
              <w:rPr>
                <w:sz w:val="24"/>
                <w:szCs w:val="24"/>
                <w:lang w:eastAsia="ru-RU" w:bidi="ru-RU"/>
              </w:rPr>
              <w:t>г. Москва, ЦАО, район Пресненский, ул. Сергея Макеева, вл. 11/9, стр. 1-10,13</w:t>
            </w:r>
          </w:p>
        </w:tc>
      </w:tr>
      <w:tr w:rsidR="00073263" w14:paraId="09FE3548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03D9A6E5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4FE458BC" w14:textId="77777777" w:rsidR="00073263" w:rsidRPr="00C661F6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62D1152" w14:textId="46695C8A" w:rsidR="00073263" w:rsidRPr="00130F82" w:rsidRDefault="00130F82" w:rsidP="00167DA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Ново</w:t>
            </w:r>
            <w:r w:rsidR="00167DAE">
              <w:rPr>
                <w:sz w:val="24"/>
                <w:szCs w:val="24"/>
                <w:lang w:eastAsia="ru-RU" w:bidi="ru-RU"/>
              </w:rPr>
              <w:t xml:space="preserve">е строительство </w:t>
            </w:r>
          </w:p>
        </w:tc>
      </w:tr>
      <w:tr w:rsidR="00130F82" w14:paraId="24B1D776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784ED15C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2C2BE32" w14:textId="77777777" w:rsidR="00130F82" w:rsidRPr="00C661F6" w:rsidRDefault="00130F82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4073CBD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CF119C" w14:paraId="4EC41B02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32EBB965" w14:textId="77777777" w:rsidR="00CF119C" w:rsidRPr="009C3872" w:rsidRDefault="00CF119C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8342911" w14:textId="37D6025D" w:rsidR="00CF119C" w:rsidRPr="00C661F6" w:rsidRDefault="00CF119C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24182EB2" w14:textId="716E9258" w:rsidR="00CF119C" w:rsidRPr="00130F82" w:rsidRDefault="007F504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C9C">
              <w:rPr>
                <w:color w:val="000000"/>
                <w:sz w:val="24"/>
                <w:szCs w:val="24"/>
                <w:lang w:eastAsia="ru-RU" w:bidi="ru-RU"/>
              </w:rPr>
              <w:t>Разрешение на строител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ьство №_</w:t>
            </w:r>
            <w:r w:rsidRPr="007B3724">
              <w:rPr>
                <w:color w:val="000000"/>
                <w:sz w:val="24"/>
                <w:szCs w:val="24"/>
                <w:u w:val="single"/>
                <w:lang w:eastAsia="ru-RU" w:bidi="ru-RU"/>
              </w:rPr>
              <w:t>77-181000-020191-2022_-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 w:rsidRPr="007B3724">
              <w:rPr>
                <w:color w:val="000000"/>
                <w:sz w:val="24"/>
                <w:szCs w:val="24"/>
                <w:u w:val="single"/>
                <w:lang w:eastAsia="ru-RU" w:bidi="ru-RU"/>
              </w:rPr>
              <w:t>05.05.2022г.,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выдано комитетом государственного строительного надзора.</w:t>
            </w:r>
          </w:p>
        </w:tc>
      </w:tr>
      <w:tr w:rsidR="00130F82" w14:paraId="7589CEDC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37D0182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1DAFC7CC" w14:textId="2761A3AA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Мобилизация    _</w:t>
            </w:r>
            <w:r w:rsidR="002E4667">
              <w:rPr>
                <w:sz w:val="24"/>
                <w:szCs w:val="24"/>
                <w:u w:val="single"/>
                <w:lang w:eastAsia="ru-RU" w:bidi="ru-RU"/>
              </w:rPr>
              <w:t>27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.</w:t>
            </w:r>
            <w:r w:rsidR="002E4667">
              <w:rPr>
                <w:sz w:val="24"/>
                <w:szCs w:val="24"/>
                <w:u w:val="single"/>
                <w:lang w:eastAsia="ru-RU" w:bidi="ru-RU"/>
              </w:rPr>
              <w:t>01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.2025</w:t>
            </w:r>
            <w:r w:rsidRPr="00AB77B3">
              <w:rPr>
                <w:sz w:val="24"/>
                <w:szCs w:val="24"/>
                <w:lang w:eastAsia="ru-RU" w:bidi="ru-RU"/>
              </w:rPr>
              <w:t>__;</w:t>
            </w:r>
          </w:p>
          <w:p w14:paraId="7B90A26A" w14:textId="01527E13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Начало СМР   _</w:t>
            </w:r>
            <w:r w:rsidR="002E4667">
              <w:rPr>
                <w:sz w:val="24"/>
                <w:szCs w:val="24"/>
                <w:u w:val="single"/>
                <w:lang w:eastAsia="ru-RU" w:bidi="ru-RU"/>
              </w:rPr>
              <w:t>10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.</w:t>
            </w:r>
            <w:r w:rsidR="002E4667">
              <w:rPr>
                <w:sz w:val="24"/>
                <w:szCs w:val="24"/>
                <w:u w:val="single"/>
                <w:lang w:eastAsia="ru-RU" w:bidi="ru-RU"/>
              </w:rPr>
              <w:t>12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.2025</w:t>
            </w:r>
            <w:r w:rsidRPr="00AB77B3">
              <w:rPr>
                <w:sz w:val="24"/>
                <w:szCs w:val="24"/>
                <w:lang w:eastAsia="ru-RU" w:bidi="ru-RU"/>
              </w:rPr>
              <w:t>_;</w:t>
            </w:r>
          </w:p>
          <w:p w14:paraId="76B3BD62" w14:textId="0D682D29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Окончание СМР _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13.11.2026</w:t>
            </w:r>
            <w:r w:rsidRPr="00AB77B3">
              <w:rPr>
                <w:sz w:val="24"/>
                <w:szCs w:val="24"/>
                <w:lang w:eastAsia="ru-RU" w:bidi="ru-RU"/>
              </w:rPr>
              <w:t>_;</w:t>
            </w:r>
          </w:p>
          <w:p w14:paraId="6875429F" w14:textId="76102D28" w:rsidR="002B2E78" w:rsidRPr="002B2E78" w:rsidRDefault="00130F8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 xml:space="preserve">см. ГПР (Приложение № </w:t>
            </w:r>
            <w:r w:rsidR="001E2EE9" w:rsidRPr="00AB77B3">
              <w:rPr>
                <w:sz w:val="24"/>
                <w:szCs w:val="24"/>
                <w:lang w:eastAsia="ru-RU" w:bidi="ru-RU"/>
              </w:rPr>
              <w:t>1</w:t>
            </w:r>
            <w:r w:rsidRPr="00AB77B3">
              <w:rPr>
                <w:sz w:val="24"/>
                <w:szCs w:val="24"/>
                <w:lang w:eastAsia="ru-RU" w:bidi="ru-RU"/>
              </w:rPr>
              <w:t xml:space="preserve"> к ТЗ)</w:t>
            </w:r>
            <w:r w:rsidR="00474870" w:rsidRPr="00AB77B3">
              <w:rPr>
                <w:sz w:val="24"/>
                <w:szCs w:val="24"/>
                <w:lang w:eastAsia="ru-RU" w:bidi="ru-RU"/>
              </w:rPr>
              <w:t>.</w:t>
            </w:r>
          </w:p>
        </w:tc>
      </w:tr>
      <w:tr w:rsidR="00130F82" w14:paraId="162AC290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42D1CCDA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5AC95A6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48F5BB99" w14:textId="79D49B58" w:rsidR="007F5042" w:rsidRPr="007F5042" w:rsidRDefault="00130F82" w:rsidP="00A00493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 w:rsidR="007F5042">
              <w:rPr>
                <w:sz w:val="24"/>
                <w:szCs w:val="24"/>
                <w:lang w:eastAsia="ru-RU"/>
              </w:rPr>
              <w:t>СМР на устройство озеленения</w:t>
            </w:r>
            <w:r w:rsidR="00463883">
              <w:rPr>
                <w:sz w:val="24"/>
                <w:szCs w:val="24"/>
                <w:lang w:eastAsia="ru-RU"/>
              </w:rPr>
              <w:t xml:space="preserve"> и автоматической системы орошения</w:t>
            </w:r>
            <w:r w:rsidR="007F504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F5597" w14:paraId="598E1464" w14:textId="77777777" w:rsidTr="00AF5597">
        <w:tc>
          <w:tcPr>
            <w:tcW w:w="924" w:type="dxa"/>
            <w:shd w:val="clear" w:color="auto" w:fill="E7E6E6" w:themeFill="background2"/>
            <w:vAlign w:val="center"/>
          </w:tcPr>
          <w:p w14:paraId="7F55B6A3" w14:textId="77777777" w:rsidR="00AF5597" w:rsidRPr="009C3872" w:rsidRDefault="00AF5597" w:rsidP="00AF559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64C7B4F" w14:textId="1C96B0E4" w:rsidR="00AF5597" w:rsidRPr="00130F82" w:rsidRDefault="00AF5597" w:rsidP="00AF559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678" w:type="dxa"/>
            <w:vAlign w:val="center"/>
          </w:tcPr>
          <w:p w14:paraId="64961192" w14:textId="41744AA4" w:rsidR="00AF5597" w:rsidRDefault="008F0607" w:rsidP="00AF559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698-З-К-ПД-ПЗУ;</w:t>
            </w:r>
          </w:p>
          <w:p w14:paraId="7D237BC6" w14:textId="1FB33D10" w:rsid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планировка.</w:t>
            </w:r>
          </w:p>
          <w:p w14:paraId="75FBCBEB" w14:textId="480CA6A0" w:rsid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часть.</w:t>
            </w:r>
          </w:p>
          <w:p w14:paraId="39134560" w14:textId="3F99B6A6" w:rsidR="00A00493" w:rsidRDefault="008F0607" w:rsidP="00A00493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покрытия.</w:t>
            </w:r>
          </w:p>
          <w:p w14:paraId="0700C56A" w14:textId="3C1683E2" w:rsidR="008F0607" w:rsidRPr="008F0607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Озеленение.</w:t>
            </w:r>
          </w:p>
          <w:p w14:paraId="2DB0CACB" w14:textId="47587DA0" w:rsidR="00A00493" w:rsidRDefault="008F0607" w:rsidP="00A00493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</w:t>
            </w:r>
          </w:p>
          <w:p w14:paraId="0F23555A" w14:textId="1A320C8D" w:rsidR="00A00493" w:rsidRP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МАФ.</w:t>
            </w:r>
          </w:p>
        </w:tc>
      </w:tr>
      <w:tr w:rsidR="009B4283" w14:paraId="2BC8A7E3" w14:textId="77777777" w:rsidTr="004D7F15">
        <w:tc>
          <w:tcPr>
            <w:tcW w:w="924" w:type="dxa"/>
            <w:vAlign w:val="center"/>
          </w:tcPr>
          <w:p w14:paraId="6EE81C05" w14:textId="77777777" w:rsidR="009B4283" w:rsidRPr="009C3872" w:rsidRDefault="009B4283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5987E247" w14:textId="09BDC951" w:rsidR="009B4283" w:rsidRDefault="009B4283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78" w:type="dxa"/>
            <w:vAlign w:val="center"/>
          </w:tcPr>
          <w:p w14:paraId="24E1C0D6" w14:textId="240C3B4D" w:rsidR="002E4667" w:rsidRPr="002E4667" w:rsidRDefault="00C831DE" w:rsidP="002E4667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Вертикальная планировка, предусматривающая подсыпку и срезку грунта в соответствии с планом организации рельефа раздела ГП</w:t>
            </w:r>
            <w:r w:rsidRPr="00C831DE">
              <w:rPr>
                <w:sz w:val="24"/>
                <w:szCs w:val="24"/>
              </w:rPr>
              <w:t xml:space="preserve">; </w:t>
            </w:r>
          </w:p>
          <w:p w14:paraId="1FE82BA6" w14:textId="3FDDEE34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Озеленение территории</w:t>
            </w:r>
            <w:r w:rsidR="0046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 доставкой</w:t>
            </w:r>
            <w:r w:rsidR="0049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растений</w:t>
            </w:r>
            <w:r w:rsidR="0046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14:paraId="28DF54BA" w14:textId="77777777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Посадка хвойных и лиственных деревьев (в т.ч. компенсационное озеленение);</w:t>
            </w:r>
          </w:p>
          <w:p w14:paraId="1AC219BF" w14:textId="77777777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Посадка хвойных и лиственных кустарников, лиан (в т.ч. компенсационное озеленение);</w:t>
            </w:r>
          </w:p>
          <w:p w14:paraId="23627461" w14:textId="77777777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цветников;</w:t>
            </w:r>
          </w:p>
          <w:p w14:paraId="1317655D" w14:textId="08D0E1AE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Устройство </w:t>
            </w:r>
            <w:r w:rsidRP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посевного </w:t>
            </w: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газона;</w:t>
            </w:r>
          </w:p>
          <w:p w14:paraId="5DA50CC8" w14:textId="789CA68A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Мульчирование поверхностей</w:t>
            </w:r>
            <w:r w:rsid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сосновой корой лиственницы;</w:t>
            </w:r>
          </w:p>
          <w:p w14:paraId="035DC7BC" w14:textId="6D945442" w:rsidR="00E95F6E" w:rsidRDefault="00C831DE" w:rsidP="002E4667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5F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Устройство автоматической системы полива, в т.ч. ПНР;</w:t>
            </w:r>
          </w:p>
          <w:p w14:paraId="7A6C8C7D" w14:textId="4429106F" w:rsidR="00653791" w:rsidRPr="00653791" w:rsidRDefault="00653791" w:rsidP="00653791">
            <w:pPr>
              <w:jc w:val="both"/>
              <w:rPr>
                <w:lang w:eastAsia="ru-RU" w:bidi="ru-RU"/>
              </w:rPr>
            </w:pPr>
          </w:p>
          <w:p w14:paraId="4D009E60" w14:textId="127DE8EF" w:rsidR="002E146B" w:rsidRPr="00C831DE" w:rsidRDefault="002E146B" w:rsidP="004D7F15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</w:t>
            </w:r>
            <w:r w:rsidR="00930186">
              <w:rPr>
                <w:color w:val="000000"/>
                <w:sz w:val="24"/>
                <w:szCs w:val="24"/>
                <w:lang w:eastAsia="ru-RU" w:bidi="ru-RU"/>
              </w:rPr>
              <w:t xml:space="preserve"> работы включены в состав работ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указанных в Смете, учтены в Стоимости Работ и подлежат выполнению.</w:t>
            </w:r>
          </w:p>
        </w:tc>
      </w:tr>
      <w:tr w:rsidR="004D7F15" w14:paraId="2AC80FA4" w14:textId="77777777" w:rsidTr="004D7F15">
        <w:tc>
          <w:tcPr>
            <w:tcW w:w="924" w:type="dxa"/>
            <w:vAlign w:val="center"/>
          </w:tcPr>
          <w:p w14:paraId="3EBF0830" w14:textId="77777777" w:rsidR="004D7F15" w:rsidRDefault="004D7F15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41A9DCA6" w14:textId="7D866FFE" w:rsidR="004D7F15" w:rsidRPr="009B4283" w:rsidRDefault="004D7F15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678" w:type="dxa"/>
            <w:vAlign w:val="center"/>
          </w:tcPr>
          <w:p w14:paraId="63C05C68" w14:textId="77777777" w:rsidR="00A122FF" w:rsidRDefault="00A122FF" w:rsidP="004D7F15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43A252AD" w14:textId="63BDD1ED" w:rsidR="00791E72" w:rsidRPr="0043288A" w:rsidRDefault="00791E72" w:rsidP="0043288A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6" w:firstLine="274"/>
              <w:rPr>
                <w:color w:val="000000"/>
                <w:sz w:val="24"/>
                <w:szCs w:val="24"/>
                <w:lang w:eastAsia="ru-RU" w:bidi="ru-RU"/>
              </w:rPr>
            </w:pPr>
            <w:r w:rsidRPr="0043288A"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 решениями раздела </w:t>
            </w:r>
            <w:r w:rsidR="00E95F6E" w:rsidRPr="0043288A">
              <w:rPr>
                <w:color w:val="000000"/>
                <w:sz w:val="24"/>
                <w:szCs w:val="24"/>
                <w:lang w:eastAsia="ru-RU" w:bidi="ru-RU"/>
              </w:rPr>
              <w:t xml:space="preserve"> РД, </w:t>
            </w:r>
            <w:r w:rsidRPr="0043288A">
              <w:rPr>
                <w:color w:val="000000"/>
                <w:sz w:val="24"/>
                <w:szCs w:val="24"/>
                <w:lang w:eastAsia="ru-RU" w:bidi="ru-RU"/>
              </w:rPr>
              <w:t xml:space="preserve">и учитывая решения, отработанные при реализации </w:t>
            </w:r>
            <w:r w:rsidRPr="0043288A">
              <w:rPr>
                <w:color w:val="000000"/>
                <w:sz w:val="24"/>
                <w:szCs w:val="24"/>
                <w:lang w:val="en-US" w:eastAsia="ru-RU" w:bidi="ru-RU"/>
              </w:rPr>
              <w:t>Mock</w:t>
            </w:r>
            <w:r w:rsidRPr="0043288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43288A">
              <w:rPr>
                <w:color w:val="000000"/>
                <w:sz w:val="24"/>
                <w:szCs w:val="24"/>
                <w:lang w:val="en-US" w:eastAsia="ru-RU" w:bidi="ru-RU"/>
              </w:rPr>
              <w:t>Up</w:t>
            </w:r>
            <w:r w:rsidRPr="0043288A">
              <w:rPr>
                <w:color w:val="000000"/>
                <w:sz w:val="24"/>
                <w:szCs w:val="24"/>
                <w:lang w:eastAsia="ru-RU" w:bidi="ru-RU"/>
              </w:rPr>
              <w:t xml:space="preserve"> , выполнить работы по благоустройству согласно разделу «Перечень выполняемых работ»;</w:t>
            </w:r>
          </w:p>
          <w:p w14:paraId="1331B500" w14:textId="300825E3" w:rsidR="001E65D1" w:rsidRDefault="00FE732D" w:rsidP="00F1179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территории РФ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остановления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 xml:space="preserve"> правительства РФ,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техническими регламентами, строительными нормами и правилами 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и другими действующими нормативными актами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проектной и рабочей документацией, разработанным</w:t>
            </w:r>
            <w:r w:rsidR="00D52570">
              <w:rPr>
                <w:color w:val="000000"/>
                <w:sz w:val="24"/>
                <w:szCs w:val="24"/>
                <w:lang w:eastAsia="ru-RU" w:bidi="ru-RU"/>
              </w:rPr>
              <w:t xml:space="preserve"> и согласованным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проектом производства работ (далее</w:t>
            </w:r>
            <w:r w:rsidR="00D52570">
              <w:rPr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ППР), требованиями настоящего Технического задания;</w:t>
            </w:r>
          </w:p>
          <w:p w14:paraId="27E8583D" w14:textId="62969286" w:rsidR="00900986" w:rsidRDefault="00900986" w:rsidP="00F1179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5910A2">
              <w:rPr>
                <w:sz w:val="24"/>
                <w:szCs w:val="24"/>
              </w:rPr>
              <w:t xml:space="preserve">Участники тендера должны предоставить состав работ по гарантийному и эксплуатационному </w:t>
            </w:r>
            <w:r>
              <w:rPr>
                <w:sz w:val="24"/>
                <w:szCs w:val="24"/>
              </w:rPr>
              <w:t>уходу</w:t>
            </w:r>
            <w:r w:rsidRPr="005910A2">
              <w:rPr>
                <w:sz w:val="24"/>
                <w:szCs w:val="24"/>
              </w:rPr>
              <w:t>, см. Приложение к ТЗ №</w:t>
            </w:r>
            <w:r w:rsidR="00DF48C1">
              <w:rPr>
                <w:sz w:val="24"/>
                <w:szCs w:val="24"/>
              </w:rPr>
              <w:t>3</w:t>
            </w:r>
            <w:r w:rsidRPr="005910A2">
              <w:rPr>
                <w:sz w:val="24"/>
                <w:szCs w:val="24"/>
              </w:rPr>
              <w:t xml:space="preserve"> «Эксплуатационный и гарантийный уход_состав работ_пример»)</w:t>
            </w:r>
            <w:r>
              <w:rPr>
                <w:sz w:val="24"/>
                <w:szCs w:val="24"/>
              </w:rPr>
              <w:t>;</w:t>
            </w:r>
          </w:p>
          <w:p w14:paraId="2C82A386" w14:textId="141C520D" w:rsidR="00A122FF" w:rsidRPr="00560BBC" w:rsidRDefault="00900986" w:rsidP="00560BB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75A0B">
              <w:rPr>
                <w:color w:val="000000"/>
                <w:sz w:val="24"/>
                <w:szCs w:val="24"/>
                <w:lang w:eastAsia="ru-RU" w:bidi="ru-RU"/>
              </w:rPr>
              <w:t xml:space="preserve">На этапе заключения договора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875A0B">
              <w:rPr>
                <w:color w:val="000000"/>
                <w:sz w:val="24"/>
                <w:szCs w:val="24"/>
                <w:lang w:eastAsia="ru-RU" w:bidi="ru-RU"/>
              </w:rPr>
              <w:t>обедитель тендера обязан предоставить фото растений для согласования с Заказчиком либо организовать выезд Заказчика в питомник для оценки качества продукции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515429" w14:paraId="56D9DB9E" w14:textId="77777777" w:rsidTr="004D7F15">
        <w:trPr>
          <w:trHeight w:val="63"/>
        </w:trPr>
        <w:tc>
          <w:tcPr>
            <w:tcW w:w="924" w:type="dxa"/>
            <w:vAlign w:val="center"/>
          </w:tcPr>
          <w:p w14:paraId="736BE7E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0DAB98E7" w14:textId="3E489A6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78" w:type="dxa"/>
            <w:vAlign w:val="center"/>
          </w:tcPr>
          <w:p w14:paraId="13633941" w14:textId="77777777" w:rsidR="00F3571B" w:rsidRPr="00972DFB" w:rsidRDefault="00F3571B" w:rsidP="00F3571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1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60983D04" w14:textId="77777777" w:rsidR="00F3571B" w:rsidRPr="00972DFB" w:rsidRDefault="00F3571B" w:rsidP="00F3571B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2FBD027A" w14:textId="7A4DB201" w:rsidR="00F3571B" w:rsidRPr="00C27233" w:rsidRDefault="00F3571B" w:rsidP="00F3571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="00474870"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0B159AA1" w14:textId="11B2BB37" w:rsidR="00D52570" w:rsidRPr="00D52570" w:rsidRDefault="00D52570" w:rsidP="00F1179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</w:t>
            </w:r>
            <w:r w:rsidRPr="004B277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515429" w14:paraId="598075E1" w14:textId="77777777" w:rsidTr="004D7F15">
        <w:trPr>
          <w:trHeight w:val="1982"/>
        </w:trPr>
        <w:tc>
          <w:tcPr>
            <w:tcW w:w="924" w:type="dxa"/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78" w:type="dxa"/>
            <w:vAlign w:val="center"/>
          </w:tcPr>
          <w:p w14:paraId="59B073B4" w14:textId="18D13A38" w:rsidR="00515429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6801764" w14:textId="77777777" w:rsidR="00F3571B" w:rsidRPr="00EE01C8" w:rsidRDefault="00F3571B" w:rsidP="00F3571B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3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578BE90F" w:rsid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предусматривается в </w:t>
            </w:r>
            <w:r w:rsidRPr="00E95F6E">
              <w:rPr>
                <w:color w:val="000000"/>
                <w:sz w:val="24"/>
                <w:szCs w:val="24"/>
                <w:lang w:eastAsia="ru-RU" w:bidi="ru-RU"/>
              </w:rPr>
              <w:t>пом</w:t>
            </w:r>
            <w:r w:rsidR="00E95F6E" w:rsidRPr="00E95F6E">
              <w:rPr>
                <w:color w:val="000000"/>
                <w:sz w:val="24"/>
                <w:szCs w:val="24"/>
                <w:lang w:eastAsia="ru-RU" w:bidi="ru-RU"/>
              </w:rPr>
              <w:t>ещениях строящегося комплекса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622B41" w14:textId="77777777" w:rsidR="00F3571B" w:rsidRPr="00C27233" w:rsidRDefault="00F3571B" w:rsidP="00F3571B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10C4449E" w14:textId="75CADDD6" w:rsidR="00EE01C8" w:rsidRP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77777777" w:rsidR="00515429" w:rsidRPr="00364E5C" w:rsidRDefault="00515429" w:rsidP="00F1179E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предоставляет Точки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45B7206D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, водоотведение);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100D3A18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по Договору подряда устанавливает приборы учета потребления на Строительной площадке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коммунального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 xml:space="preserve"> ресурса за отчетный период;</w:t>
            </w:r>
          </w:p>
          <w:p w14:paraId="0DB3812F" w14:textId="37ACAE7D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 в бытовках подрядчика,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требления коммунального ресурса;</w:t>
            </w:r>
          </w:p>
          <w:p w14:paraId="56583D5E" w14:textId="77777777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85E6B20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 по Договору, учитывается круглосуточная работа; </w:t>
            </w:r>
          </w:p>
          <w:p w14:paraId="60EA3399" w14:textId="77777777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календарный день выполнения работ по Договору, учитывается круглосуточная работа; </w:t>
            </w:r>
          </w:p>
          <w:p w14:paraId="3776B9EB" w14:textId="77777777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</w:p>
          <w:p w14:paraId="56AD459C" w14:textId="0E25C96B" w:rsidR="00515429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выполнения работ по Договору, учитывается круглосуточная работа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17A16F3" w14:textId="3F885273" w:rsidR="00F1179E" w:rsidRDefault="00F1179E" w:rsidP="00E95F6E">
            <w:pPr>
              <w:pStyle w:val="20"/>
              <w:tabs>
                <w:tab w:val="left" w:pos="464"/>
              </w:tabs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FF1FFFC" w14:textId="77777777" w:rsidR="00F1179E" w:rsidRDefault="00F1179E" w:rsidP="00F1179E">
            <w:pPr>
              <w:pStyle w:val="20"/>
              <w:tabs>
                <w:tab w:val="left" w:pos="464"/>
              </w:tabs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Style w:val="af"/>
              <w:tblpPr w:leftFromText="180" w:rightFromText="180" w:vertAnchor="page" w:horzAnchor="margin" w:tblpY="1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F3571B" w:rsidRPr="007B6DB6" w14:paraId="5BEE5081" w14:textId="77777777" w:rsidTr="00F3571B">
              <w:trPr>
                <w:trHeight w:val="266"/>
              </w:trPr>
              <w:tc>
                <w:tcPr>
                  <w:tcW w:w="3317" w:type="dxa"/>
                </w:tcPr>
                <w:p w14:paraId="419D86A4" w14:textId="77777777" w:rsidR="00F3571B" w:rsidRPr="00CE3715" w:rsidRDefault="00F3571B" w:rsidP="00F3571B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53432C20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5300ACB4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F3571B" w:rsidRPr="007B6DB6" w14:paraId="0D520824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09339E8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0B215958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96D3334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2072A318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1F0F140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208077A3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7B7A5DEF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4842AB10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8E7A090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1907B425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7969E45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716B285C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40A9512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3A9B959E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7DC7B4AC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79FFF089" w14:textId="77777777" w:rsidTr="00F3571B">
              <w:trPr>
                <w:trHeight w:val="2331"/>
              </w:trPr>
              <w:tc>
                <w:tcPr>
                  <w:tcW w:w="3317" w:type="dxa"/>
                </w:tcPr>
                <w:p w14:paraId="36F8579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70462E86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4F73BA9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25CB4DFD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037BAFCA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3B1399CC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F3571B" w:rsidRPr="007B6DB6" w14:paraId="5D45062A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ABBB845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3E991CB0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2EE5BD0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0DEF8FD5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3C0A5DA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74B80584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52B89316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68D1A25A" w14:textId="77777777" w:rsidTr="00F3571B">
              <w:trPr>
                <w:trHeight w:val="530"/>
              </w:trPr>
              <w:tc>
                <w:tcPr>
                  <w:tcW w:w="3317" w:type="dxa"/>
                </w:tcPr>
                <w:p w14:paraId="3A6D93E1" w14:textId="77777777" w:rsidR="00F3571B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18CEECBE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55CEBDF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6016F64B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4D4E3674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4C8BDF39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CFF7ACE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31ADAC84" w14:textId="77777777" w:rsidTr="00F3571B">
              <w:trPr>
                <w:trHeight w:val="266"/>
              </w:trPr>
              <w:tc>
                <w:tcPr>
                  <w:tcW w:w="3317" w:type="dxa"/>
                </w:tcPr>
                <w:p w14:paraId="6BF383B2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78102571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E7961E7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6305445C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6EC0165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5A273338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2CE4DD29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F3571B" w:rsidRPr="007B6DB6" w14:paraId="62BAA793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5C1C6EC9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49D30E67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предоставляет место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и готовит основание </w:t>
                  </w: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для размещения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40DC6926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1511606F" w:rsidR="00515429" w:rsidRPr="00364E5C" w:rsidRDefault="00515429" w:rsidP="00515429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7A35672C" w14:textId="77777777" w:rsidTr="00900986">
        <w:trPr>
          <w:trHeight w:val="132"/>
        </w:trPr>
        <w:tc>
          <w:tcPr>
            <w:tcW w:w="924" w:type="dxa"/>
            <w:vAlign w:val="center"/>
          </w:tcPr>
          <w:p w14:paraId="27729FEC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36DED86" w14:textId="1C8C81B1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78" w:type="dxa"/>
            <w:vAlign w:val="center"/>
          </w:tcPr>
          <w:p w14:paraId="45A8272C" w14:textId="2B737B92" w:rsidR="00515429" w:rsidRDefault="00515429" w:rsidP="00EE01C8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515429" w:rsidRPr="000B0064" w:rsidRDefault="00515429" w:rsidP="00F1179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5429" w:rsidRPr="000B0064" w:rsidRDefault="00515429" w:rsidP="00F1179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t>(при необходимости, по 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70832CF" w14:textId="6CAE701B" w:rsidR="00515429" w:rsidRDefault="00F3571B" w:rsidP="00F117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 на весь срок выполнения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B3E259A" w14:textId="3FC49B8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10F06BE4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5C22325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26F34F30" w14:textId="1FE59CD2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78" w:type="dxa"/>
            <w:vAlign w:val="center"/>
          </w:tcPr>
          <w:p w14:paraId="6A13B271" w14:textId="13AB4083" w:rsidR="00515429" w:rsidRDefault="00515429" w:rsidP="00F1179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71CA6D0B" w:rsidR="00515429" w:rsidRDefault="00515429" w:rsidP="00515429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07570F8A" w14:textId="7B0F9F76" w:rsidR="00515429" w:rsidRDefault="00515429" w:rsidP="00515429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тав – начальник участка, группа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производителей работ, группа ПТО, группа снабжения, геодезист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>, специалист по охране труда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C697FE7" w14:textId="6B22CBDB" w:rsidR="00900986" w:rsidRDefault="00900986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Рабочие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703C03B" w14:textId="09AAC377" w:rsidR="00515429" w:rsidRPr="00F3571B" w:rsidRDefault="00515429" w:rsidP="00F1179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42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F3571B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5F262A9" w14:textId="2DAAB9E8" w:rsidR="00515429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FD552" w14:textId="1B8ED1D8" w:rsidR="00515429" w:rsidRPr="00F3571B" w:rsidRDefault="00515429" w:rsidP="005154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357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30678228" w14:textId="30092257" w:rsidR="00515429" w:rsidRPr="00F3571B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DF90A6E" w14:textId="104E8DC9" w:rsidR="00515429" w:rsidRPr="00F3571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F3571B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4F8AB3AC" w14:textId="77777777" w:rsidR="00515429" w:rsidRPr="00F3571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1F8333FD" w14:textId="77777777" w:rsidR="00761728" w:rsidRDefault="00761728" w:rsidP="00761728">
            <w:pPr>
              <w:pStyle w:val="a0"/>
              <w:numPr>
                <w:ilvl w:val="0"/>
                <w:numId w:val="0"/>
              </w:numPr>
              <w:suppressAutoHyphens/>
              <w:spacing w:line="276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F3571B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5F31B4C2" w14:textId="72700C09" w:rsidR="00761728" w:rsidRPr="00515429" w:rsidRDefault="00761728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</w:p>
        </w:tc>
      </w:tr>
      <w:tr w:rsidR="00515429" w14:paraId="2EFF638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DFCA87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0D6F5FC" w14:textId="2E412B6D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</w:t>
            </w:r>
            <w:r w:rsidR="00957831">
              <w:rPr>
                <w:rStyle w:val="21"/>
                <w:sz w:val="24"/>
              </w:rPr>
              <w:t>/оснастке</w:t>
            </w:r>
          </w:p>
        </w:tc>
        <w:tc>
          <w:tcPr>
            <w:tcW w:w="6678" w:type="dxa"/>
            <w:vAlign w:val="center"/>
          </w:tcPr>
          <w:p w14:paraId="51BA5E6E" w14:textId="152BCE4A" w:rsidR="00515429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собственной или арендуемой строительной 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ехники, в составе, необходимом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для соблюдения технологич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еских требований по выполнению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строительно-монтажных работ, а также соблюдения выполнения сроков строительно-монтажных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но не менее:</w:t>
            </w:r>
          </w:p>
          <w:p w14:paraId="468EC080" w14:textId="39849880" w:rsidR="00900986" w:rsidRDefault="00900986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Манипулятор для перевозки крупномеров – 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 шт;</w:t>
            </w:r>
          </w:p>
          <w:p w14:paraId="2EDB2E35" w14:textId="70D5B8AD" w:rsidR="00E95F6E" w:rsidRDefault="00E95F6E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Погрузчик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J</w:t>
            </w:r>
            <w:r w:rsidRPr="00E95F6E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B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 2 шт.</w:t>
            </w:r>
          </w:p>
          <w:p w14:paraId="521AC101" w14:textId="5CD5A289" w:rsidR="00E95F6E" w:rsidRDefault="00E95F6E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Самосвал – 1 шт.</w:t>
            </w:r>
          </w:p>
          <w:p w14:paraId="6D7BD4C6" w14:textId="53971B37" w:rsidR="00900986" w:rsidRDefault="0043288A" w:rsidP="0043288A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900986">
              <w:rPr>
                <w:color w:val="000000"/>
                <w:sz w:val="24"/>
                <w:szCs w:val="24"/>
                <w:lang w:eastAsia="ru-RU" w:bidi="ru-RU"/>
              </w:rPr>
              <w:t>И т.д.</w:t>
            </w:r>
          </w:p>
          <w:p w14:paraId="14D17447" w14:textId="498522AB" w:rsidR="00682FD4" w:rsidRDefault="00682FD4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2F6C64">
              <w:rPr>
                <w:color w:val="000000"/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Pr="00317239">
              <w:rPr>
                <w:color w:val="000000"/>
                <w:sz w:val="24"/>
                <w:szCs w:val="24"/>
                <w:lang w:eastAsia="ru-RU" w:bidi="ru-RU"/>
              </w:rPr>
              <w:t>выполнить с использованием собственных грузоподъемных механизмов</w:t>
            </w:r>
            <w:r w:rsidR="00317239" w:rsidRPr="00317239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7717B51" w14:textId="42668F80" w:rsidR="00515429" w:rsidRPr="00682FD4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682FD4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аналогичную, при этом не допускается сдвиг сроков производства СМР;</w:t>
            </w:r>
          </w:p>
          <w:p w14:paraId="20500971" w14:textId="69CEF673" w:rsidR="00515429" w:rsidRPr="00A028D1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 xml:space="preserve">Запасные части, а также комплект инструментов и оборудования для производства Работ должны быть </w:t>
            </w:r>
            <w:r w:rsidRPr="00A028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0F769D4D" w:rsidR="00515429" w:rsidRPr="002254FA" w:rsidRDefault="00ED4BBB" w:rsidP="00ED4BBB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85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5429" w14:paraId="5E6DCB28" w14:textId="77777777" w:rsidTr="004D7F15">
        <w:trPr>
          <w:trHeight w:val="70"/>
        </w:trPr>
        <w:tc>
          <w:tcPr>
            <w:tcW w:w="924" w:type="dxa"/>
            <w:vAlign w:val="center"/>
          </w:tcPr>
          <w:p w14:paraId="19760BF9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60B60F85" w14:textId="552A8168" w:rsidR="00515429" w:rsidRPr="000B0064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78" w:type="dxa"/>
            <w:vAlign w:val="center"/>
          </w:tcPr>
          <w:p w14:paraId="6A70A363" w14:textId="09139A98" w:rsidR="00515429" w:rsidRDefault="00515429" w:rsidP="00F1179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515429" w:rsidRPr="00F51236" w:rsidRDefault="00515429" w:rsidP="00F1179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</w:t>
            </w: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проектной документаци</w:t>
            </w:r>
            <w:r w:rsidR="00957831"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и, положениями </w:t>
            </w:r>
            <w:r w:rsidR="00D621AD"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ППР</w:t>
            </w: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604FCCF3" w14:textId="362FE0A1" w:rsidR="00ED4BBB" w:rsidRP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4B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ED4B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4" w:history="1">
              <w:r w:rsidRPr="00ED4BB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ED4B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5" w:history="1">
              <w:r w:rsidRPr="00ED4BB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приложение к Договору под названием «ТАБЛИЦА ШТРАФОВ»</w:t>
            </w:r>
            <w:r w:rsidRPr="00ED4B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4B3CA7D2" w:rsidR="00201529" w:rsidRPr="00834EA4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части подготовки документации,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получения 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административными органами и другими заинтересованными организациями;</w:t>
            </w:r>
          </w:p>
          <w:p w14:paraId="6A843649" w14:textId="197FE5FB" w:rsidR="00201529" w:rsidRPr="00201529" w:rsidRDefault="002015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(перевыставление штрафов Заказчика на Подрядчика);</w:t>
            </w:r>
          </w:p>
          <w:p w14:paraId="4BA36C45" w14:textId="226EA234" w:rsidR="00515429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1D6B435D" w:rsidR="00834EA4" w:rsidRDefault="00834EA4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Выброс строительного мусора и ТБО производится в контейнеры </w:t>
            </w:r>
            <w:r w:rsidR="0031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Подрядчика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обеспечивает своевременный вывоз строительных отходов, не</w:t>
            </w:r>
            <w:r w:rsidR="000541D4"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допуская скопления на строительной площадке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="00F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4260967" w14:textId="65892558" w:rsidR="00515429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До начала производства работ </w:t>
            </w:r>
            <w:r w:rsidRPr="00A1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вывозу грунта Подрядчик получает разрешение на перемещение ОССиГ (отходов строительства, сноса зданий и сооружений,</w:t>
            </w:r>
            <w:r w:rsidRPr="008D6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том числе грунтов).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Подрядчику необходимо самостоятельно обеспечить своевременный вывоз 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грунта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не допуская скопления 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грунта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строительной площадке, в соответствии с действующими законодательными нормами г. Москвы ППМ N 1386-ПП от 26 августа 2020 г.  Подрядчик должен заключить Договор с организацией обладающим правом на вывоз (Обладающей Лицензией) строительных отходов и грунта, либо имеющий договорные отношения с Полигоном (или с другим лицом), имеющим право принимать отходы, если полигон занесен в Реестр, либо с организацией, имеющей право транспортировать и принимать отходы. Предоставить талоны на вывоз при закрытии работ. В сопутствующих расходах учесть затраты, связанные с требованиями Правительства г. Москвы в части организации цифрового контроля за процессом обращения отходов строительства и сноса (электронные талоны и т.д.) -  </w:t>
            </w:r>
            <w:hyperlink r:id="rId16" w:history="1">
              <w:r w:rsidRPr="00AA4AA6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https://stroi.mos.ru/oss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Предоставить информацию по заключенным Договорам с полигоном Заказчику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0C6684A" w14:textId="77777777" w:rsidR="00900986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6E774549" w14:textId="77777777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 началом монтажных работ уточнить положение инженерных сетей на участке производства работ и получить указания по обеспечению сохранности и безопасной эксплуатации инженерных сетей у соответствующих эксплуатирующих организаций. На участках прохождения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инженерных сетей строительные работы производить с соблюдением требований безопасности;</w:t>
            </w:r>
          </w:p>
          <w:p w14:paraId="00CA7CA4" w14:textId="77777777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Восстановить нарушенные в процессе производства работ благоустройство территории и разрушенные твердые покрытия после производства работ;</w:t>
            </w:r>
          </w:p>
          <w:p w14:paraId="0ACD3FA9" w14:textId="77777777" w:rsidR="00900986" w:rsidRDefault="00FF1137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должны производиться минимально необходимым количеством технических средств и механизмов, складирование материалов</w:t>
            </w:r>
            <w:r w:rsidR="000541D4"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 быть минимальным </w:t>
            </w:r>
            <w:r w:rsidR="000541D4"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недопущения загромождения строительной площадки</w:t>
            </w:r>
            <w:r w:rsid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878410" w14:textId="7A390E7B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Обеспечить уход за зелеными насаждениями в соответствии с требованиями нормативных актов Российской Федерации и г. Москвы, регулирующих отношения в области создания, содержания и охраны зеленых насаждений,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  <w:r w:rsidR="0031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даты подписания Акта о приемке выполненных работ (гарантийный срок). Если в течение указанного периода, произойдет гибель посадочного материала или потеря декоративного вида, то Подрядчик обязан заменить соответствующий посадочный материал; </w:t>
            </w:r>
          </w:p>
          <w:p w14:paraId="60979DCC" w14:textId="77777777" w:rsid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территории строительной площадки;</w:t>
            </w:r>
          </w:p>
          <w:p w14:paraId="568C54A2" w14:textId="1D67DC93" w:rsidR="00ED4BBB" w:rsidRP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должны производиться минимально необходимым количеством технических средств и механизмов, складирование материалов должно быть минимальным для недопущения загромождения строительной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1E8E5E09" w14:textId="77777777" w:rsidR="00957831" w:rsidRPr="00957831" w:rsidRDefault="00957831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5920ACA4" w14:textId="77777777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  <w:p w14:paraId="558BE72B" w14:textId="4FECA5E7" w:rsidR="00515429" w:rsidRPr="00CE5F56" w:rsidRDefault="0031723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515429"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дней в неделю (пн-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воскресенье</w:t>
            </w:r>
            <w:r w:rsidR="00515429"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  <w:p w14:paraId="1E880988" w14:textId="16D3960F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  <w:p w14:paraId="437E46C5" w14:textId="7259BB20" w:rsidR="00515429" w:rsidRPr="00E62590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22FF" w14:paraId="013045E4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0CF51E5E" w14:textId="3F5B03A3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29AA882" w14:textId="12FFAA0C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</w:t>
            </w:r>
            <w:r>
              <w:rPr>
                <w:b/>
                <w:sz w:val="24"/>
              </w:rPr>
              <w:t>качеству работ</w:t>
            </w:r>
          </w:p>
        </w:tc>
        <w:tc>
          <w:tcPr>
            <w:tcW w:w="6678" w:type="dxa"/>
            <w:vAlign w:val="center"/>
          </w:tcPr>
          <w:p w14:paraId="7A924108" w14:textId="77777777" w:rsidR="00900986" w:rsidRDefault="00900986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Качество выполняемых работ в соответствии с нормами и требованиями, действующими на территории РФ (технические регламенты, 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 82.13330.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 45.13330. «Земляные сооружения, 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 фундаменты», СП 70.13330. "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Несущие и ограждающие конструкции"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 63.13330.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Бетонные и железобетонные конструкции. Основные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др.), требованиями, указанными в ППР и рабочей документации;</w:t>
            </w:r>
          </w:p>
          <w:p w14:paraId="326461FA" w14:textId="77777777" w:rsid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период производства земляных работ при ожидаемой среднесуточной температуре наружного воздуха ниже 5°С и минимальной суточной температуре ниже 0°С требуется организовать мероприятия по производству работ при низких температурах в соответствии с СП 45.13330.2017 (полное удаление снега, льда, промерзшего разрыхленного грунта);</w:t>
            </w:r>
          </w:p>
          <w:p w14:paraId="0FC163A5" w14:textId="223FE15E" w:rsid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Предоставить лабораторные заключения по коэффиц</w:t>
            </w:r>
            <w:r w:rsidR="0017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иенту уплотнения с послойным тра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мбованием до проектного Купл. Лабораторный контроль должен производиться для каждого уплотняемого слоя с составлением соответствующего акта контроля качества. По окончанию работ передать Акты и заключения лабораторного контроля Заказчику в составе исполнительной документации;</w:t>
            </w:r>
          </w:p>
          <w:p w14:paraId="2FB8C647" w14:textId="77777777" w:rsidR="00900986" w:rsidRP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303CB100" w14:textId="77777777" w:rsidR="00900986" w:rsidRP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необходимые уточнения, изменения, корректировки относительно проектной документации согласовывать с Заказчиком и авторами проекта;</w:t>
            </w:r>
          </w:p>
          <w:p w14:paraId="07234E9F" w14:textId="77777777" w:rsidR="00A122FF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проверки соответствия качества выполненных работ требованиям, установленным договором, Заказчик вправе привлекать независимых экспертов. При освидетельствовании качества выполненных Работ, в т. ч. но не ограничиваясь, оценкой уплотнения грунтов, оценкой качества сварных швов металлоконструкций, а также при выявлении несоответствия характеристик поставленных материалов документам о качестве и/или Законодательству, Подрядчик, в свою очередь,  обязан по требованию Заказчика в разумный срок предоставить заключение лаборатории (предварительно согласованной с Заказчиком в письменной форме) для подтверждения качества выполненных Работ и применяемых материалов.</w:t>
            </w:r>
          </w:p>
          <w:p w14:paraId="6EEF487A" w14:textId="77777777" w:rsidR="00ED4BBB" w:rsidRPr="009D27EF" w:rsidRDefault="00ED4BBB" w:rsidP="00ED4BBB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6CBC74F1" w:rsidR="00ED4BBB" w:rsidRPr="00900986" w:rsidRDefault="00ED4BBB" w:rsidP="00ED4BBB">
            <w:pPr>
              <w:pStyle w:val="af0"/>
              <w:autoSpaceDE w:val="0"/>
              <w:autoSpaceDN w:val="0"/>
              <w:spacing w:line="276" w:lineRule="auto"/>
              <w:ind w:left="0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D459B7" w14:paraId="1D9F43B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76F68B7" w14:textId="62F428CD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8112EEA" w14:textId="72C1C543" w:rsidR="00D459B7" w:rsidRPr="00A028D1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материалам и оборудованию</w:t>
            </w:r>
          </w:p>
        </w:tc>
        <w:tc>
          <w:tcPr>
            <w:tcW w:w="6678" w:type="dxa"/>
            <w:vAlign w:val="center"/>
          </w:tcPr>
          <w:p w14:paraId="4404398D" w14:textId="77777777" w:rsidR="00D459B7" w:rsidRPr="00972DFB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7120BC0C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FDB12CC" w14:textId="743936DF" w:rsidR="00D459B7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Материалы, не вошедшие в список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не соответствующие указанным в проекте (являющиеся аналогами), влияющие на визуальные, прочностные и эксплуатационные характеристики объекта</w:t>
            </w: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приобретаются Подрядчиком 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626CC817" w14:textId="77777777" w:rsidR="00D459B7" w:rsidRPr="0003417F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наличии;</w:t>
            </w:r>
          </w:p>
          <w:p w14:paraId="02450C1A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2DEDEA95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переданных по накладной давальческих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случае порчи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материалов, изделий, конструкций, оборудования, строительных машин и другого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производит замену за свой счет;</w:t>
            </w:r>
          </w:p>
          <w:p w14:paraId="1B4D2542" w14:textId="7B7FD144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жащее Подрядчику на любом праве.</w:t>
            </w:r>
          </w:p>
          <w:p w14:paraId="799B1842" w14:textId="77777777" w:rsidR="00D459B7" w:rsidRPr="00F30511" w:rsidRDefault="00D459B7" w:rsidP="00D459B7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611AF5" w14:textId="77777777" w:rsidR="00D459B7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Давальческий материал:</w:t>
            </w:r>
          </w:p>
          <w:p w14:paraId="74540084" w14:textId="3206879D" w:rsidR="00D459B7" w:rsidRP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14:paraId="55A4CE26" w14:textId="77777777" w:rsidR="00D459B7" w:rsidRPr="00BD223B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Номинированный материал: </w:t>
            </w:r>
          </w:p>
          <w:p w14:paraId="2E856DEF" w14:textId="5F7C4D2D" w:rsidR="00D459B7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Гранит (брусчатка)</w:t>
            </w:r>
          </w:p>
          <w:p w14:paraId="3EA99575" w14:textId="6F040E6E" w:rsidR="00D34302" w:rsidRDefault="00D34302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Террасная доска</w:t>
            </w:r>
          </w:p>
          <w:p w14:paraId="09AA8AAD" w14:textId="5BF38854" w:rsidR="00D34302" w:rsidRDefault="00D34302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Пеностекло</w:t>
            </w:r>
          </w:p>
          <w:p w14:paraId="245437D3" w14:textId="3CEA509A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Архитектурный асфальт</w:t>
            </w:r>
          </w:p>
          <w:p w14:paraId="042302CF" w14:textId="40B7222E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 уличные</w:t>
            </w:r>
          </w:p>
          <w:p w14:paraId="177429D8" w14:textId="4B7C22C3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спортивной площадки</w:t>
            </w:r>
          </w:p>
          <w:p w14:paraId="744E7598" w14:textId="77777777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D73367" w14:textId="77777777" w:rsidR="00D459B7" w:rsidRPr="000541D4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  <w:t>Примечание:</w:t>
            </w:r>
          </w:p>
          <w:p w14:paraId="0DDBDE7F" w14:textId="77777777" w:rsidR="00D459B7" w:rsidRPr="000541D4" w:rsidRDefault="00D459B7" w:rsidP="00D459B7">
            <w:pPr>
              <w:pStyle w:val="a9"/>
              <w:numPr>
                <w:ilvl w:val="0"/>
                <w:numId w:val="10"/>
              </w:numPr>
              <w:shd w:val="clear" w:color="auto" w:fill="D0CECE" w:themeFill="background2" w:themeFillShade="E6"/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718C1C41" w:rsidR="00D459B7" w:rsidRPr="000541D4" w:rsidRDefault="00D459B7" w:rsidP="00D459B7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459B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  <w:r w:rsidR="0047487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.</w:t>
            </w:r>
          </w:p>
        </w:tc>
      </w:tr>
      <w:tr w:rsidR="00D459B7" w14:paraId="4292170A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2190D0E0" w14:textId="1C872A87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76CA612" w14:textId="77777777" w:rsidR="00D459B7" w:rsidRPr="00E62590" w:rsidRDefault="00D459B7" w:rsidP="00D459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D459B7" w:rsidRPr="005A0495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78" w:type="dxa"/>
            <w:vAlign w:val="center"/>
          </w:tcPr>
          <w:p w14:paraId="2633BAB1" w14:textId="3ADEF836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2620C4B2" w14:textId="0735636B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1FC66B13" w14:textId="77777777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ношениях Заказчика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Подрядчика;</w:t>
            </w:r>
          </w:p>
          <w:p w14:paraId="4E0F7897" w14:textId="1A068D2C" w:rsidR="00D459B7" w:rsidRPr="005A0495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D459B7" w14:paraId="0B7B6CA3" w14:textId="77777777" w:rsidTr="00C661F6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5CEC3E5F" w14:textId="42B8A0FE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E21A69D" w14:textId="528FEC0F" w:rsidR="00D459B7" w:rsidRPr="00E62590" w:rsidRDefault="00D459B7" w:rsidP="00D459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5A00940F" w14:textId="031BC86C" w:rsidR="00D459B7" w:rsidRPr="00037105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ответственного за строительный контроль, комплект документов:</w:t>
            </w:r>
          </w:p>
          <w:p w14:paraId="5407E81B" w14:textId="03B640EE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4945F622" w14:textId="77777777" w:rsidR="009456C0" w:rsidRPr="00071A86" w:rsidRDefault="009456C0" w:rsidP="009456C0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C00513E" w14:textId="77777777" w:rsidR="009456C0" w:rsidRPr="00071A86" w:rsidRDefault="009456C0" w:rsidP="009456C0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</w:t>
            </w:r>
            <w:r w:rsidRPr="00010F79">
              <w:rPr>
                <w:sz w:val="24"/>
                <w:szCs w:val="24"/>
                <w:lang w:eastAsia="ru-RU" w:bidi="ru-RU"/>
              </w:rPr>
              <w:lastRenderedPageBreak/>
              <w:t xml:space="preserve">Документации» и выложены на сайте по адресу  </w:t>
            </w:r>
            <w:hyperlink r:id="rId17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 </w:t>
            </w:r>
          </w:p>
          <w:p w14:paraId="764B68B9" w14:textId="533977A9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3D0769AA" w14:textId="5EB07AD0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900986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 работ (устройство оснований под покрытия (послойно), устройство покрытий, озеленение и т.д.);</w:t>
            </w:r>
          </w:p>
          <w:p w14:paraId="2FFD78CA" w14:textId="33647766" w:rsidR="00D459B7" w:rsidRPr="00900986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900986">
              <w:rPr>
                <w:color w:val="000000"/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площадку;</w:t>
            </w:r>
          </w:p>
          <w:p w14:paraId="3FB60820" w14:textId="304544DE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3E2CCF91" w14:textId="6C6FD70E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5E954446" w14:textId="7306FC47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Талоны;</w:t>
            </w:r>
          </w:p>
          <w:p w14:paraId="7CF9B9F7" w14:textId="7183DB18" w:rsidR="00D459B7" w:rsidRPr="00A46096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290FB894" w14:textId="77777777" w:rsidR="00D459B7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3139766F" w:rsidR="00D459B7" w:rsidRPr="000C6205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Состав финальной ИД должен быть достаточным для получения ЗОС и РНВ и 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надлежащей эксплуатации Объекта.</w:t>
            </w:r>
          </w:p>
        </w:tc>
      </w:tr>
      <w:tr w:rsidR="00D459B7" w14:paraId="77B83642" w14:textId="77777777" w:rsidTr="00C661F6">
        <w:trPr>
          <w:trHeight w:val="1793"/>
        </w:trPr>
        <w:tc>
          <w:tcPr>
            <w:tcW w:w="924" w:type="dxa"/>
            <w:shd w:val="clear" w:color="auto" w:fill="E7E6E6" w:themeFill="background2"/>
            <w:vAlign w:val="center"/>
          </w:tcPr>
          <w:p w14:paraId="17BAFDCA" w14:textId="75900ED6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BA6DE09" w14:textId="71797293" w:rsidR="00D459B7" w:rsidRPr="00C661F6" w:rsidRDefault="00D459B7" w:rsidP="00D459B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6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EABDA7E" w14:textId="400B6380" w:rsidR="00317239" w:rsidRPr="000D7B3D" w:rsidRDefault="00D459B7" w:rsidP="0031723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выполненным работам, составляет 60 месяцев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 w:rsidR="0031723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BA0ED30" w14:textId="44A568E8" w:rsidR="00D459B7" w:rsidRPr="000D7B3D" w:rsidRDefault="00D459B7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56C0" w14:paraId="35F30E62" w14:textId="77777777" w:rsidTr="009456C0">
        <w:trPr>
          <w:trHeight w:val="976"/>
        </w:trPr>
        <w:tc>
          <w:tcPr>
            <w:tcW w:w="924" w:type="dxa"/>
            <w:shd w:val="clear" w:color="auto" w:fill="EDEDED" w:themeFill="accent3" w:themeFillTint="33"/>
            <w:vAlign w:val="center"/>
          </w:tcPr>
          <w:p w14:paraId="24BD68B7" w14:textId="6A311568" w:rsidR="009456C0" w:rsidRPr="009C3872" w:rsidRDefault="009456C0" w:rsidP="009456C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DEDED" w:themeFill="accent3" w:themeFillTint="33"/>
            <w:vAlign w:val="center"/>
          </w:tcPr>
          <w:p w14:paraId="1166EE07" w14:textId="55B90985" w:rsidR="009456C0" w:rsidRPr="00836690" w:rsidRDefault="009456C0" w:rsidP="009456C0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78" w:type="dxa"/>
            <w:shd w:val="clear" w:color="auto" w:fill="EDEDED" w:themeFill="accent3" w:themeFillTint="33"/>
            <w:vAlign w:val="center"/>
          </w:tcPr>
          <w:p w14:paraId="74594C0C" w14:textId="77777777" w:rsidR="009456C0" w:rsidRPr="00AF62E5" w:rsidRDefault="009456C0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Договору/Спецификации к Договору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производится Заказчиком после получения письменного извещения Подрядчика об их готовности к передаче при условии передачи Подрядчиком Заказчику полного комплекта документов, необходимых для получения ЗОС и РНВ и надлежащей эксплуатации Объекта.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Заказчик вправе для такой приёмки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результата выполненных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назначить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комиссию, в т.ч. состоящую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34C64934" w14:textId="20C74FB0" w:rsidR="009456C0" w:rsidRPr="00836690" w:rsidRDefault="009456C0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Итоговый Акт Сдачи-приемки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F815E9">
              <w:rPr>
                <w:rStyle w:val="a8"/>
                <w:rFonts w:ascii="Calibri" w:eastAsia="Calibri" w:hAnsi="Calibri"/>
              </w:rPr>
              <w:t xml:space="preserve">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подписания со стороны Заказчика и подтверждающий выполнение Работ по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Договору</w:t>
            </w: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/Спецификации к Договору, предоставляется Подрядчиком исключительно после полного выполнения всех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>Работ.</w:t>
            </w:r>
          </w:p>
        </w:tc>
      </w:tr>
      <w:tr w:rsidR="00D459B7" w14:paraId="7335317E" w14:textId="77777777" w:rsidTr="00E21987">
        <w:trPr>
          <w:trHeight w:val="699"/>
        </w:trPr>
        <w:tc>
          <w:tcPr>
            <w:tcW w:w="924" w:type="dxa"/>
            <w:vAlign w:val="center"/>
          </w:tcPr>
          <w:p w14:paraId="60246CC0" w14:textId="2385BD6D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06CDFB5" w14:textId="74DCACC1" w:rsidR="00D459B7" w:rsidRPr="00836690" w:rsidRDefault="00D459B7" w:rsidP="00D459B7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214419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 w:rsidR="00E7754F">
              <w:rPr>
                <w:rStyle w:val="21"/>
                <w:rFonts w:eastAsiaTheme="minorHAnsi"/>
                <w:sz w:val="24"/>
              </w:rPr>
              <w:t>/Сметы</w:t>
            </w:r>
            <w:r w:rsidRPr="00214419">
              <w:rPr>
                <w:rStyle w:val="21"/>
                <w:rFonts w:eastAsiaTheme="minorHAnsi"/>
                <w:sz w:val="24"/>
              </w:rPr>
              <w:t xml:space="preserve">  </w:t>
            </w:r>
          </w:p>
        </w:tc>
        <w:tc>
          <w:tcPr>
            <w:tcW w:w="6678" w:type="dxa"/>
            <w:vAlign w:val="center"/>
          </w:tcPr>
          <w:p w14:paraId="3021205F" w14:textId="7D09E3D0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49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9723C55" w14:textId="77777777" w:rsidR="009456C0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0" w:firstLine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29AB855B" w14:textId="77777777" w:rsidR="009456C0" w:rsidRPr="007E0A71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0" w:firstLine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635B0866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материалов/оборудования учитывает отпускную цену поставщика, транспортные расходы по доставке на приобъектный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РФ;</w:t>
            </w:r>
          </w:p>
          <w:p w14:paraId="365E2D10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материалов прямо не упомянутых в смете, но необходимых для выполнения работ учитываются в строке Прочие материалы;</w:t>
            </w:r>
          </w:p>
          <w:p w14:paraId="55F389E4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цены на позиции по номинированным материалам включают чистую цену поставщика с доставкой, либо без доставки и не содержат другие затраты. 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документов (транспортных накладных);</w:t>
            </w:r>
          </w:p>
          <w:p w14:paraId="7AFDC9D0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если доставка включена в стоимость материала, то дополнительные расходы, связанные с недозагрузкой транспорта, Заказчиком не возмещаются;  </w:t>
            </w:r>
          </w:p>
          <w:p w14:paraId="75343688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работ   учитывает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производство работ в стесненных условиях (при наличии, в соответствии с ПОС), накладные расходы, в том </w:t>
            </w: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числе покрытие рисков, связанных с обязательствами, страховые взносы, сметную прибыль, НДС по ставке в соответствии с действующим законодательством РФ;</w:t>
            </w:r>
          </w:p>
          <w:p w14:paraId="7FBAA447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363D3FDD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66C7D5BA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1B5F359C" w14:textId="77777777" w:rsidR="009456C0" w:rsidRPr="00774EA8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Заказчиком.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E9870DF" w14:textId="77777777" w:rsidR="009456C0" w:rsidRPr="00BE4B17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BCF1A6B" w14:textId="292EF4A1" w:rsidR="00D459B7" w:rsidRPr="00214419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D459B7" w14:paraId="633C4B78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19B0456E" w14:textId="0DB7D512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A644995" w14:textId="57E3ED1A" w:rsidR="00D459B7" w:rsidRPr="00D85C22" w:rsidRDefault="00D459B7" w:rsidP="00D459B7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678" w:type="dxa"/>
            <w:vAlign w:val="center"/>
          </w:tcPr>
          <w:p w14:paraId="2863B58F" w14:textId="77777777" w:rsidR="000A516D" w:rsidRDefault="000A516D" w:rsidP="000A516D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438F862" w14:textId="77777777" w:rsidR="000A516D" w:rsidRDefault="000A516D" w:rsidP="000A516D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4B6A583F" w14:textId="77777777" w:rsidR="0043288A" w:rsidRDefault="000A516D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r w:rsidR="0043288A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4EE17E3E" w14:textId="77777777" w:rsidR="0043288A" w:rsidRDefault="0043288A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0A516D" w:rsidRPr="001E2EE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3288A">
              <w:rPr>
                <w:color w:val="000000"/>
                <w:sz w:val="24"/>
                <w:szCs w:val="24"/>
                <w:lang w:eastAsia="ru-RU" w:bidi="ru-RU"/>
              </w:rPr>
              <w:t>устройство автоматической системы орошения</w:t>
            </w:r>
          </w:p>
          <w:p w14:paraId="7B63127E" w14:textId="77777777" w:rsidR="0043288A" w:rsidRDefault="0043288A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43288A">
              <w:rPr>
                <w:color w:val="000000"/>
                <w:sz w:val="24"/>
                <w:szCs w:val="24"/>
                <w:lang w:eastAsia="ru-RU" w:bidi="ru-RU"/>
              </w:rPr>
              <w:t>на озеленение территории</w:t>
            </w:r>
          </w:p>
          <w:p w14:paraId="14678A96" w14:textId="245446BD" w:rsidR="00D459B7" w:rsidRPr="001E2EE9" w:rsidRDefault="000A516D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8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</w:tc>
      </w:tr>
      <w:tr w:rsidR="00D459B7" w14:paraId="166D6670" w14:textId="77777777" w:rsidTr="00C661F6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2ABD927D" w14:textId="0DD88B61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45A9998E" w14:textId="64A13CEE" w:rsidR="00D459B7" w:rsidRPr="00C661F6" w:rsidRDefault="00D459B7" w:rsidP="00D459B7">
            <w:pPr>
              <w:spacing w:line="276" w:lineRule="auto"/>
              <w:rPr>
                <w:rStyle w:val="21"/>
                <w:rFonts w:eastAsiaTheme="minorHAnsi"/>
                <w:b w:val="0"/>
              </w:rPr>
            </w:pPr>
            <w:r w:rsidRPr="00C6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27A8A9D" w14:textId="2CB81554" w:rsidR="000A516D" w:rsidRPr="00972DFB" w:rsidRDefault="000A516D" w:rsidP="000A516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лицо:</w:t>
            </w:r>
          </w:p>
          <w:p w14:paraId="1674B5C1" w14:textId="7EFE81E8" w:rsidR="00D459B7" w:rsidRPr="006F1D4C" w:rsidRDefault="00174228" w:rsidP="000A516D">
            <w:pPr>
              <w:spacing w:line="276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Заводин Андрей </w:t>
            </w:r>
            <w:r w:rsidR="000A516D"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+7 926 360 6973 </w:t>
            </w:r>
            <w:r w:rsidR="000A516D"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/</w:t>
            </w:r>
            <w:r>
              <w:t xml:space="preserve"> 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zavodin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@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sminex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.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com</w:t>
            </w:r>
          </w:p>
        </w:tc>
      </w:tr>
    </w:tbl>
    <w:p w14:paraId="23D60546" w14:textId="3D7D3537" w:rsidR="00A43E79" w:rsidRDefault="00A43E79">
      <w:pPr>
        <w:rPr>
          <w:sz w:val="24"/>
          <w:szCs w:val="24"/>
        </w:rPr>
      </w:pPr>
    </w:p>
    <w:p w14:paraId="076F48F0" w14:textId="77777777" w:rsidR="00A43E79" w:rsidRDefault="00A43E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7574F4" w14:textId="77777777" w:rsidR="00F1179E" w:rsidRPr="00CD62AB" w:rsidRDefault="00F1179E" w:rsidP="00F1179E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CD62AB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3A147DC5" w14:textId="28759CB5" w:rsidR="00F1179E" w:rsidRPr="006D2443" w:rsidRDefault="00F1179E" w:rsidP="00F1179E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F1179E" w:rsidRPr="00101A93" w14:paraId="3899D36A" w14:textId="77777777" w:rsidTr="00C661F6">
        <w:tc>
          <w:tcPr>
            <w:tcW w:w="710" w:type="dxa"/>
            <w:shd w:val="clear" w:color="auto" w:fill="E7E6E6" w:themeFill="background2"/>
          </w:tcPr>
          <w:p w14:paraId="08222DF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2249065D" w14:textId="77777777" w:rsidR="00F1179E" w:rsidRPr="00A301C7" w:rsidRDefault="00F1179E" w:rsidP="00B159C5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685DDC6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179E" w:rsidRPr="00101A93" w14:paraId="062B97CC" w14:textId="77777777" w:rsidTr="00C661F6">
        <w:tc>
          <w:tcPr>
            <w:tcW w:w="710" w:type="dxa"/>
            <w:shd w:val="clear" w:color="auto" w:fill="E7E6E6" w:themeFill="background2"/>
          </w:tcPr>
          <w:p w14:paraId="00506539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2747FBC6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F929A06" w14:textId="0482C96A" w:rsidR="00F1179E" w:rsidRPr="00A301C7" w:rsidRDefault="00174228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F1179E" w:rsidRPr="00101A93" w14:paraId="7321F660" w14:textId="77777777" w:rsidTr="00C661F6">
        <w:tc>
          <w:tcPr>
            <w:tcW w:w="710" w:type="dxa"/>
            <w:shd w:val="clear" w:color="auto" w:fill="E7E6E6" w:themeFill="background2"/>
          </w:tcPr>
          <w:p w14:paraId="516B28C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17073E12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0BE4F6BC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9DA34A1" w14:textId="5B1D572F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F1179E" w:rsidRPr="00101A93" w14:paraId="51E5F47C" w14:textId="77777777" w:rsidTr="00C661F6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78F5C4AC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786E7C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D77A446" w14:textId="445DB105" w:rsidR="00F1179E" w:rsidRPr="0007451C" w:rsidRDefault="000F1BBB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1</w:t>
            </w:r>
            <w:r w:rsidR="0007451C"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2.2025</w:t>
            </w:r>
          </w:p>
        </w:tc>
      </w:tr>
      <w:tr w:rsidR="00F1179E" w:rsidRPr="00101A93" w14:paraId="31199F6B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7DE117D4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F5C179A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B0244E3" w14:textId="60231A97" w:rsidR="00F1179E" w:rsidRPr="0007451C" w:rsidRDefault="0007451C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13.11.2026</w:t>
            </w:r>
          </w:p>
        </w:tc>
      </w:tr>
      <w:tr w:rsidR="00F1179E" w:rsidRPr="00101A93" w14:paraId="48C55BF4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3F05956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44064FB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56EDA9C" w14:textId="523AE943" w:rsidR="00F1179E" w:rsidRPr="0007451C" w:rsidRDefault="000F1BBB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339</w:t>
            </w:r>
            <w:r w:rsidR="0007451C"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к.д.</w:t>
            </w:r>
          </w:p>
        </w:tc>
      </w:tr>
      <w:tr w:rsidR="00F1179E" w:rsidRPr="00101A93" w14:paraId="5930AE19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56656BD7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0BE70CE5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9E67559" w14:textId="463A0F56" w:rsidR="00F1179E" w:rsidRPr="00A301C7" w:rsidRDefault="00F1179E" w:rsidP="00174228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Ориентировочная цена  - фикс. ед. ра</w:t>
            </w:r>
            <w:r w:rsidR="001742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сценки, объемы могут уточняться</w:t>
            </w:r>
          </w:p>
        </w:tc>
      </w:tr>
      <w:tr w:rsidR="00F1179E" w:rsidRPr="00101A93" w14:paraId="5DF544AA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3B93DBF6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326A2EE8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41B297D" w14:textId="77777777" w:rsidR="00F1179E" w:rsidRPr="00A42788" w:rsidRDefault="00F1179E" w:rsidP="00F1179E">
            <w:pPr>
              <w:pStyle w:val="af0"/>
              <w:numPr>
                <w:ilvl w:val="0"/>
                <w:numId w:val="21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1139394" w14:textId="77777777" w:rsidR="00F1179E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производство работ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7114F35" w14:textId="77777777" w:rsidR="00F1179E" w:rsidRPr="00A42788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20928363" w14:textId="77777777" w:rsidR="00F1179E" w:rsidRPr="00A42788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ЛП;</w:t>
            </w:r>
          </w:p>
          <w:p w14:paraId="2FC737AB" w14:textId="29B27F74" w:rsidR="00F1179E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3551369" w14:textId="77777777" w:rsidR="009209F3" w:rsidRDefault="009209F3" w:rsidP="009209F3">
            <w:pPr>
              <w:ind w:left="35"/>
              <w:jc w:val="both"/>
              <w:rPr>
                <w:rFonts w:eastAsia="Times New Roman"/>
                <w:lang w:eastAsia="ru-RU" w:bidi="ru-RU"/>
              </w:rPr>
            </w:pPr>
          </w:p>
          <w:p w14:paraId="4EB3ACB4" w14:textId="7910490C" w:rsidR="00F1179E" w:rsidRPr="008C7541" w:rsidRDefault="009209F3" w:rsidP="009209F3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209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Более подробно по условиям и суммам авансирования – см. </w:t>
            </w:r>
            <w:r w:rsidRPr="009209F3">
              <w:rPr>
                <w:i/>
                <w:iCs/>
              </w:rPr>
              <w:t> </w:t>
            </w:r>
            <w:r w:rsidRPr="009209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авансирования СМР и ПИР</w:t>
            </w:r>
          </w:p>
        </w:tc>
      </w:tr>
      <w:tr w:rsidR="00F1179E" w:rsidRPr="00101A93" w14:paraId="33CD18CC" w14:textId="77777777" w:rsidTr="00167DAE">
        <w:trPr>
          <w:trHeight w:val="719"/>
        </w:trPr>
        <w:tc>
          <w:tcPr>
            <w:tcW w:w="710" w:type="dxa"/>
            <w:shd w:val="clear" w:color="auto" w:fill="E7E6E6" w:themeFill="background2"/>
          </w:tcPr>
          <w:p w14:paraId="746CC8D1" w14:textId="2AF7FCE2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C60DF4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638408" w14:textId="0ACAE97B" w:rsidR="00F1179E" w:rsidRPr="00B159C5" w:rsidRDefault="00B159C5" w:rsidP="00B159C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Акта Сдачи-приемки Работ</w:t>
            </w:r>
          </w:p>
        </w:tc>
      </w:tr>
      <w:tr w:rsidR="00F1179E" w:rsidRPr="00101A93" w14:paraId="150CD128" w14:textId="77777777" w:rsidTr="00C661F6">
        <w:tc>
          <w:tcPr>
            <w:tcW w:w="710" w:type="dxa"/>
            <w:shd w:val="clear" w:color="auto" w:fill="E7E6E6" w:themeFill="background2"/>
          </w:tcPr>
          <w:p w14:paraId="5E3D278B" w14:textId="05441DC8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B22ECBD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5E1086B" w14:textId="3A7E8532" w:rsidR="00F1179E" w:rsidRPr="00A301C7" w:rsidRDefault="00174228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F1179E" w:rsidRPr="00101A93" w14:paraId="711D6104" w14:textId="77777777" w:rsidTr="00C661F6">
        <w:tc>
          <w:tcPr>
            <w:tcW w:w="710" w:type="dxa"/>
            <w:shd w:val="clear" w:color="auto" w:fill="E7E6E6" w:themeFill="background2"/>
          </w:tcPr>
          <w:p w14:paraId="27C0AEAB" w14:textId="59583385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5F9A65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E884C2B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Гранит (брусчатка)</w:t>
            </w:r>
          </w:p>
          <w:p w14:paraId="7DDF04FA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Террасная доска</w:t>
            </w:r>
          </w:p>
          <w:p w14:paraId="6FCEF8A8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Пеностекло</w:t>
            </w:r>
          </w:p>
          <w:p w14:paraId="72263F63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Архитектурный асфальт</w:t>
            </w:r>
          </w:p>
          <w:p w14:paraId="405AAAA2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Светильники уличные</w:t>
            </w:r>
          </w:p>
          <w:p w14:paraId="75705297" w14:textId="0B595E8E" w:rsidR="00F1179E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спортивной площадки</w:t>
            </w:r>
          </w:p>
        </w:tc>
      </w:tr>
      <w:tr w:rsidR="00F1179E" w:rsidRPr="00101A93" w14:paraId="1A2DBD98" w14:textId="77777777" w:rsidTr="00C661F6">
        <w:tc>
          <w:tcPr>
            <w:tcW w:w="710" w:type="dxa"/>
            <w:shd w:val="clear" w:color="auto" w:fill="E7E6E6" w:themeFill="background2"/>
          </w:tcPr>
          <w:p w14:paraId="0F1FC187" w14:textId="44D00F02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5050213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D18597C" w14:textId="0D55D36B" w:rsidR="00F1179E" w:rsidRPr="00A301C7" w:rsidRDefault="00174228" w:rsidP="0017422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F1179E" w:rsidRPr="00101A93" w14:paraId="729AE506" w14:textId="77777777" w:rsidTr="00C661F6">
        <w:tc>
          <w:tcPr>
            <w:tcW w:w="710" w:type="dxa"/>
            <w:shd w:val="clear" w:color="auto" w:fill="E7E6E6" w:themeFill="background2"/>
          </w:tcPr>
          <w:p w14:paraId="67CF37FF" w14:textId="6B9DA257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13A4324B" w14:textId="77777777" w:rsidR="00F1179E" w:rsidRPr="00A301C7" w:rsidRDefault="00F1179E" w:rsidP="00167DAE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D2A1601" w14:textId="6BD15405" w:rsidR="00F1179E" w:rsidRPr="00167DAE" w:rsidRDefault="00167DAE" w:rsidP="00167DAE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73848207" w14:textId="4AD43155" w:rsidR="00073263" w:rsidRPr="00073263" w:rsidRDefault="00073263" w:rsidP="00F1179E">
      <w:pPr>
        <w:jc w:val="center"/>
        <w:rPr>
          <w:sz w:val="24"/>
          <w:szCs w:val="24"/>
        </w:rPr>
      </w:pPr>
    </w:p>
    <w:sectPr w:rsidR="00073263" w:rsidRPr="00073263" w:rsidSect="00130F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88B0" w14:textId="77777777" w:rsidR="0078675E" w:rsidRDefault="0078675E" w:rsidP="0076393B">
      <w:pPr>
        <w:spacing w:after="0" w:line="240" w:lineRule="auto"/>
      </w:pPr>
      <w:r>
        <w:separator/>
      </w:r>
    </w:p>
  </w:endnote>
  <w:endnote w:type="continuationSeparator" w:id="0">
    <w:p w14:paraId="10045BF8" w14:textId="77777777" w:rsidR="0078675E" w:rsidRDefault="0078675E" w:rsidP="0076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44C7" w14:textId="77777777" w:rsidR="0078675E" w:rsidRDefault="0078675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9822" w14:textId="77777777" w:rsidR="0078675E" w:rsidRDefault="0078675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7AE1" w14:textId="77777777" w:rsidR="0078675E" w:rsidRDefault="0078675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3B331" w14:textId="77777777" w:rsidR="0078675E" w:rsidRDefault="0078675E" w:rsidP="0076393B">
      <w:pPr>
        <w:spacing w:after="0" w:line="240" w:lineRule="auto"/>
      </w:pPr>
      <w:r>
        <w:separator/>
      </w:r>
    </w:p>
  </w:footnote>
  <w:footnote w:type="continuationSeparator" w:id="0">
    <w:p w14:paraId="00D2DD71" w14:textId="77777777" w:rsidR="0078675E" w:rsidRDefault="0078675E" w:rsidP="0076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B9B3" w14:textId="77777777" w:rsidR="0078675E" w:rsidRDefault="007867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1F05" w14:textId="77777777" w:rsidR="0078675E" w:rsidRDefault="007867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71DF" w14:textId="77777777" w:rsidR="0078675E" w:rsidRDefault="007867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1D5F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B91"/>
    <w:multiLevelType w:val="hybridMultilevel"/>
    <w:tmpl w:val="C2A6D824"/>
    <w:lvl w:ilvl="0" w:tplc="9F4A4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D50"/>
    <w:multiLevelType w:val="hybridMultilevel"/>
    <w:tmpl w:val="9BB04C70"/>
    <w:lvl w:ilvl="0" w:tplc="DB3632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0763"/>
    <w:multiLevelType w:val="multilevel"/>
    <w:tmpl w:val="BF6E9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54A5FED"/>
    <w:multiLevelType w:val="hybridMultilevel"/>
    <w:tmpl w:val="A1362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6E1D5D"/>
    <w:multiLevelType w:val="hybridMultilevel"/>
    <w:tmpl w:val="57B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3354"/>
    <w:multiLevelType w:val="hybridMultilevel"/>
    <w:tmpl w:val="98BC07B4"/>
    <w:lvl w:ilvl="0" w:tplc="B642886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22"/>
  </w:num>
  <w:num w:numId="13">
    <w:abstractNumId w:val="18"/>
  </w:num>
  <w:num w:numId="14">
    <w:abstractNumId w:val="17"/>
  </w:num>
  <w:num w:numId="15">
    <w:abstractNumId w:val="16"/>
  </w:num>
  <w:num w:numId="16">
    <w:abstractNumId w:val="14"/>
  </w:num>
  <w:num w:numId="17">
    <w:abstractNumId w:val="12"/>
  </w:num>
  <w:num w:numId="18">
    <w:abstractNumId w:val="10"/>
  </w:num>
  <w:num w:numId="19">
    <w:abstractNumId w:val="9"/>
  </w:num>
  <w:num w:numId="20">
    <w:abstractNumId w:val="19"/>
  </w:num>
  <w:num w:numId="21">
    <w:abstractNumId w:val="23"/>
  </w:num>
  <w:num w:numId="22">
    <w:abstractNumId w:val="21"/>
  </w:num>
  <w:num w:numId="23">
    <w:abstractNumId w:val="13"/>
  </w:num>
  <w:num w:numId="24">
    <w:abstractNumId w:val="11"/>
  </w:num>
  <w:num w:numId="25">
    <w:abstractNumId w:val="7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23FF5"/>
    <w:rsid w:val="00037105"/>
    <w:rsid w:val="00054063"/>
    <w:rsid w:val="000541D4"/>
    <w:rsid w:val="000568DF"/>
    <w:rsid w:val="000712F8"/>
    <w:rsid w:val="00073263"/>
    <w:rsid w:val="0007451C"/>
    <w:rsid w:val="0009206E"/>
    <w:rsid w:val="000A516D"/>
    <w:rsid w:val="000B0064"/>
    <w:rsid w:val="000C4616"/>
    <w:rsid w:val="000C6205"/>
    <w:rsid w:val="000D7B3D"/>
    <w:rsid w:val="000F1BBB"/>
    <w:rsid w:val="001218C2"/>
    <w:rsid w:val="00130F82"/>
    <w:rsid w:val="00140891"/>
    <w:rsid w:val="00167DAE"/>
    <w:rsid w:val="00174189"/>
    <w:rsid w:val="00174228"/>
    <w:rsid w:val="001809B1"/>
    <w:rsid w:val="00187D66"/>
    <w:rsid w:val="001E2EE9"/>
    <w:rsid w:val="001E65D1"/>
    <w:rsid w:val="00201529"/>
    <w:rsid w:val="00214419"/>
    <w:rsid w:val="002254FA"/>
    <w:rsid w:val="002555B4"/>
    <w:rsid w:val="002845ED"/>
    <w:rsid w:val="00293484"/>
    <w:rsid w:val="002B0C38"/>
    <w:rsid w:val="002B2E78"/>
    <w:rsid w:val="002B718F"/>
    <w:rsid w:val="002D2D1B"/>
    <w:rsid w:val="002E146B"/>
    <w:rsid w:val="002E4667"/>
    <w:rsid w:val="002E7AD8"/>
    <w:rsid w:val="003073D7"/>
    <w:rsid w:val="00315B52"/>
    <w:rsid w:val="00317239"/>
    <w:rsid w:val="00322E95"/>
    <w:rsid w:val="00341EA0"/>
    <w:rsid w:val="00343362"/>
    <w:rsid w:val="0034766A"/>
    <w:rsid w:val="003547DE"/>
    <w:rsid w:val="00364099"/>
    <w:rsid w:val="00364E41"/>
    <w:rsid w:val="00364E5C"/>
    <w:rsid w:val="00365586"/>
    <w:rsid w:val="003B185C"/>
    <w:rsid w:val="003B7F3E"/>
    <w:rsid w:val="0043288A"/>
    <w:rsid w:val="00453219"/>
    <w:rsid w:val="00463883"/>
    <w:rsid w:val="00474870"/>
    <w:rsid w:val="004971E1"/>
    <w:rsid w:val="004D7F15"/>
    <w:rsid w:val="004F12CE"/>
    <w:rsid w:val="004F4A54"/>
    <w:rsid w:val="00515429"/>
    <w:rsid w:val="005216C1"/>
    <w:rsid w:val="005430DD"/>
    <w:rsid w:val="00560BBC"/>
    <w:rsid w:val="00574AC1"/>
    <w:rsid w:val="005A0495"/>
    <w:rsid w:val="005B28D8"/>
    <w:rsid w:val="005D150C"/>
    <w:rsid w:val="005E7FDC"/>
    <w:rsid w:val="00653791"/>
    <w:rsid w:val="00682FD4"/>
    <w:rsid w:val="006B0423"/>
    <w:rsid w:val="006C27FB"/>
    <w:rsid w:val="006E29A1"/>
    <w:rsid w:val="006E3592"/>
    <w:rsid w:val="006F1D4C"/>
    <w:rsid w:val="006F7656"/>
    <w:rsid w:val="00723DD1"/>
    <w:rsid w:val="00756319"/>
    <w:rsid w:val="00760969"/>
    <w:rsid w:val="00761728"/>
    <w:rsid w:val="0076393B"/>
    <w:rsid w:val="0078675E"/>
    <w:rsid w:val="00791E72"/>
    <w:rsid w:val="007A2DD4"/>
    <w:rsid w:val="007F5042"/>
    <w:rsid w:val="00830B8D"/>
    <w:rsid w:val="008346DA"/>
    <w:rsid w:val="00834EA4"/>
    <w:rsid w:val="00836690"/>
    <w:rsid w:val="00854E52"/>
    <w:rsid w:val="00857B9C"/>
    <w:rsid w:val="008A79F9"/>
    <w:rsid w:val="008B6AA7"/>
    <w:rsid w:val="008E55E2"/>
    <w:rsid w:val="008F0607"/>
    <w:rsid w:val="00900986"/>
    <w:rsid w:val="00913610"/>
    <w:rsid w:val="00916704"/>
    <w:rsid w:val="009209F3"/>
    <w:rsid w:val="0092122C"/>
    <w:rsid w:val="00930186"/>
    <w:rsid w:val="00934F38"/>
    <w:rsid w:val="009456C0"/>
    <w:rsid w:val="00957831"/>
    <w:rsid w:val="0096248C"/>
    <w:rsid w:val="00991173"/>
    <w:rsid w:val="009A6D81"/>
    <w:rsid w:val="009B4283"/>
    <w:rsid w:val="009C7CE7"/>
    <w:rsid w:val="009F1192"/>
    <w:rsid w:val="00A00493"/>
    <w:rsid w:val="00A028D1"/>
    <w:rsid w:val="00A122FF"/>
    <w:rsid w:val="00A40506"/>
    <w:rsid w:val="00A43E79"/>
    <w:rsid w:val="00A46096"/>
    <w:rsid w:val="00A84BCD"/>
    <w:rsid w:val="00AA4AA6"/>
    <w:rsid w:val="00AB77B3"/>
    <w:rsid w:val="00AD2A37"/>
    <w:rsid w:val="00AF5597"/>
    <w:rsid w:val="00B06C55"/>
    <w:rsid w:val="00B11A99"/>
    <w:rsid w:val="00B159C5"/>
    <w:rsid w:val="00B52F3A"/>
    <w:rsid w:val="00BA396D"/>
    <w:rsid w:val="00BD223B"/>
    <w:rsid w:val="00BE3939"/>
    <w:rsid w:val="00BF08B5"/>
    <w:rsid w:val="00BF65C6"/>
    <w:rsid w:val="00C2555E"/>
    <w:rsid w:val="00C661F6"/>
    <w:rsid w:val="00C831DE"/>
    <w:rsid w:val="00CA5E6C"/>
    <w:rsid w:val="00CA7C25"/>
    <w:rsid w:val="00CD62AB"/>
    <w:rsid w:val="00CE3CB4"/>
    <w:rsid w:val="00CE5F56"/>
    <w:rsid w:val="00CF119C"/>
    <w:rsid w:val="00CF744C"/>
    <w:rsid w:val="00D140AA"/>
    <w:rsid w:val="00D34302"/>
    <w:rsid w:val="00D35DF6"/>
    <w:rsid w:val="00D36E85"/>
    <w:rsid w:val="00D459B7"/>
    <w:rsid w:val="00D52570"/>
    <w:rsid w:val="00D621AD"/>
    <w:rsid w:val="00D960EF"/>
    <w:rsid w:val="00DC3AEB"/>
    <w:rsid w:val="00DC748A"/>
    <w:rsid w:val="00DE1A59"/>
    <w:rsid w:val="00DF48C1"/>
    <w:rsid w:val="00DF50DF"/>
    <w:rsid w:val="00E21987"/>
    <w:rsid w:val="00E62590"/>
    <w:rsid w:val="00E7754F"/>
    <w:rsid w:val="00E95F6E"/>
    <w:rsid w:val="00EC2D5D"/>
    <w:rsid w:val="00EC701D"/>
    <w:rsid w:val="00ED4BBB"/>
    <w:rsid w:val="00EE01C8"/>
    <w:rsid w:val="00EF46E2"/>
    <w:rsid w:val="00F1179E"/>
    <w:rsid w:val="00F30511"/>
    <w:rsid w:val="00F3571B"/>
    <w:rsid w:val="00F44EFA"/>
    <w:rsid w:val="00F51236"/>
    <w:rsid w:val="00F55860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3"/>
    <w:uiPriority w:val="99"/>
    <w:semiHidden/>
    <w:unhideWhenUsed/>
    <w:rsid w:val="006F1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s://www.sminex.com/cooperation/tender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roi.mos.ru/o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22" Type="http://schemas.openxmlformats.org/officeDocument/2006/relationships/footer" Target="footer2.xml"/><Relationship Id="rId9" Type="http://schemas.openxmlformats.org/officeDocument/2006/relationships/footnotes" Target="footnotes.xml"/><Relationship Id="rId14" Type="http://schemas.openxmlformats.org/officeDocument/2006/relationships/hyperlink" Target="https://www.sminex.com/cooperation/tenders/" TargetMode="Externa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0B09D4048D3D42BA03DAF64FEBFA04" ma:contentTypeVersion="0" ma:contentTypeDescription="Создание документа." ma:contentTypeScope="" ma:versionID="218f7f4e8f3121b7fc8d701b9bb76669">
  <xsd:schema xmlns:xsd="http://www.w3.org/2001/XMLSchema" xmlns:xs="http://www.w3.org/2001/XMLSchema" xmlns:p="http://schemas.microsoft.com/office/2006/metadata/properties" xmlns:ns2="290cdb9c-5ea7-487d-b0ed-e64f7b733c2c" targetNamespace="http://schemas.microsoft.com/office/2006/metadata/properties" ma:root="true" ma:fieldsID="8946bc4fa49b4572e3cdf8853aa558dd" ns2:_="">
    <xsd:import namespace="290cdb9c-5ea7-487d-b0ed-e64f7b733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db9c-5ea7-487d-b0ed-e64f7b733c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0cdb9c-5ea7-487d-b0ed-e64f7b733c2c">SMINEX-2306-415697</_dlc_DocId>
    <_dlc_DocIdUrl xmlns="290cdb9c-5ea7-487d-b0ed-e64f7b733c2c">
      <Url>http://portal/dep/_layouts/DocIdRedir.aspx?ID=SMINEX-2306-415697</Url>
      <Description>SMINEX-2306-415697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3058DC-C493-4FD4-8AE3-957BC8CC3476}"/>
</file>

<file path=customXml/itemProps2.xml><?xml version="1.0" encoding="utf-8"?>
<ds:datastoreItem xmlns:ds="http://schemas.openxmlformats.org/officeDocument/2006/customXml" ds:itemID="{2EABC724-F71E-4987-928A-14B5D639D5BB}"/>
</file>

<file path=customXml/itemProps3.xml><?xml version="1.0" encoding="utf-8"?>
<ds:datastoreItem xmlns:ds="http://schemas.openxmlformats.org/officeDocument/2006/customXml" ds:itemID="{40182C3F-FA4F-47A5-A575-C550B5B38B9B}"/>
</file>

<file path=customXml/itemProps4.xml><?xml version="1.0" encoding="utf-8"?>
<ds:datastoreItem xmlns:ds="http://schemas.openxmlformats.org/officeDocument/2006/customXml" ds:itemID="{722B6FD2-1DCB-4907-82EA-C591D41158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A4B617-4767-4F18-B4B7-A8A1B0C61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17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ТЗ_Озеленение.docx</dc:title>
  <dc:subject/>
  <dc:creator>Киселева Юлия</dc:creator>
  <cp:keywords/>
  <dc:description/>
  <cp:lastModifiedBy>Ракова Анастасия</cp:lastModifiedBy>
  <cp:revision>24</cp:revision>
  <dcterms:created xsi:type="dcterms:W3CDTF">2024-10-07T14:48:00Z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202f9a0a-9281-45c7-80dd-7b030604b33a</vt:lpwstr>
  </property>
  <property fmtid="{D5CDD505-2E9C-101B-9397-08002B2CF9AE}" pid="3" name="ContentTypeId">
    <vt:lpwstr>0x010100460B09D4048D3D42BA03DAF64FEBFA04</vt:lpwstr>
  </property>
</Properties>
</file>