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48D0" w14:textId="0E477ACB" w:rsidR="00F31313" w:rsidRDefault="00F31313" w:rsidP="00F3131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4CC114D" w14:textId="77777777" w:rsidR="00EA1089" w:rsidRPr="007100A0" w:rsidRDefault="00EA1089" w:rsidP="006C37F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3C0AA97" w14:textId="77777777" w:rsidR="006C37F0" w:rsidRPr="002C6FE9" w:rsidRDefault="006C37F0" w:rsidP="006C37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E9">
        <w:rPr>
          <w:rFonts w:ascii="Times New Roman" w:hAnsi="Times New Roman" w:cs="Times New Roman"/>
          <w:b/>
          <w:sz w:val="24"/>
          <w:szCs w:val="24"/>
        </w:rPr>
        <w:t>ТЕХНИЧЕСКОЕ ЗАДАНИЕ НА ПРОВЕДЕНИЕ ТЕНДЕРА</w:t>
      </w:r>
    </w:p>
    <w:p w14:paraId="015D20C0" w14:textId="77777777" w:rsidR="006C37F0" w:rsidRPr="007100A0" w:rsidRDefault="006C37F0" w:rsidP="006C37F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46858A4" w14:textId="28ADC0CA" w:rsidR="00A04503" w:rsidRDefault="002C6FE9" w:rsidP="00887C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264F">
        <w:rPr>
          <w:rFonts w:ascii="Times New Roman" w:hAnsi="Times New Roman" w:cs="Times New Roman"/>
          <w:b/>
          <w:sz w:val="24"/>
          <w:szCs w:val="24"/>
        </w:rPr>
        <w:t>Объект</w:t>
      </w:r>
      <w:r w:rsidRPr="006B264F">
        <w:rPr>
          <w:rFonts w:ascii="Times New Roman" w:hAnsi="Times New Roman" w:cs="Times New Roman"/>
          <w:sz w:val="24"/>
          <w:szCs w:val="24"/>
        </w:rPr>
        <w:t xml:space="preserve">: </w:t>
      </w:r>
      <w:r w:rsidR="00887C5A" w:rsidRPr="00887C5A">
        <w:rPr>
          <w:rFonts w:ascii="Times New Roman" w:hAnsi="Times New Roman" w:cs="Times New Roman"/>
          <w:sz w:val="24"/>
          <w:szCs w:val="24"/>
        </w:rPr>
        <w:t>ЖК "Академик" по адресу: г. Санкт Петербург, Пискаревский проспект, земельный участок с кадастровым номером 78:11:0005607:1634 1 этап строительства, (Паркинг)</w:t>
      </w:r>
    </w:p>
    <w:p w14:paraId="397F5978" w14:textId="54B00D13" w:rsidR="00EA1089" w:rsidRPr="007100A0" w:rsidRDefault="00EA1089" w:rsidP="00A045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100A0"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  <w:r w:rsidRPr="007100A0">
        <w:rPr>
          <w:rFonts w:ascii="Times New Roman" w:hAnsi="Times New Roman" w:cs="Times New Roman"/>
          <w:sz w:val="24"/>
          <w:szCs w:val="24"/>
        </w:rPr>
        <w:t xml:space="preserve"> – Закупка оборудования, выполнение строительно-</w:t>
      </w:r>
      <w:r w:rsidR="00276049" w:rsidRPr="007100A0">
        <w:rPr>
          <w:rFonts w:ascii="Times New Roman" w:hAnsi="Times New Roman" w:cs="Times New Roman"/>
          <w:sz w:val="24"/>
          <w:szCs w:val="24"/>
        </w:rPr>
        <w:t xml:space="preserve">монтажных </w:t>
      </w:r>
      <w:r w:rsidR="00276049">
        <w:rPr>
          <w:rFonts w:ascii="Times New Roman" w:hAnsi="Times New Roman" w:cs="Times New Roman"/>
          <w:sz w:val="24"/>
          <w:szCs w:val="24"/>
        </w:rPr>
        <w:t>и</w:t>
      </w:r>
      <w:r w:rsidR="00CD4A4B">
        <w:rPr>
          <w:rFonts w:ascii="Times New Roman" w:hAnsi="Times New Roman" w:cs="Times New Roman"/>
          <w:sz w:val="24"/>
          <w:szCs w:val="24"/>
        </w:rPr>
        <w:t xml:space="preserve"> пуско-наладочных работ по автоматической установке водяного пожаротушения </w:t>
      </w:r>
      <w:r w:rsidR="00A04503">
        <w:rPr>
          <w:rFonts w:ascii="Times New Roman" w:hAnsi="Times New Roman" w:cs="Times New Roman"/>
          <w:sz w:val="24"/>
          <w:szCs w:val="24"/>
        </w:rPr>
        <w:t>(АУВПТ)</w:t>
      </w:r>
      <w:r w:rsidR="00222318">
        <w:rPr>
          <w:rFonts w:ascii="Times New Roman" w:hAnsi="Times New Roman" w:cs="Times New Roman"/>
          <w:sz w:val="24"/>
          <w:szCs w:val="24"/>
        </w:rPr>
        <w:t>.</w:t>
      </w:r>
      <w:r w:rsidR="00DE1172" w:rsidRPr="007100A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EA1089" w:rsidRPr="004736E1" w14:paraId="4B86C087" w14:textId="77777777" w:rsidTr="00104CD5">
        <w:tc>
          <w:tcPr>
            <w:tcW w:w="657" w:type="dxa"/>
          </w:tcPr>
          <w:p w14:paraId="430F520C" w14:textId="77777777" w:rsidR="00EA1089" w:rsidRPr="004736E1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14:paraId="3DCB7CB6" w14:textId="77777777" w:rsidR="00EA1089" w:rsidRPr="004736E1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625" w:type="dxa"/>
          </w:tcPr>
          <w:p w14:paraId="285BEBF5" w14:textId="34996D18" w:rsidR="002C6FE9" w:rsidRPr="004736E1" w:rsidRDefault="002C6FE9" w:rsidP="002C6F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По техническим вопросам</w:t>
            </w:r>
            <w:r w:rsidR="008C0FDF"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документации: </w:t>
            </w:r>
          </w:p>
          <w:p w14:paraId="6977EDBE" w14:textId="7067F6EB" w:rsidR="002C6FE9" w:rsidRPr="004736E1" w:rsidRDefault="008C0FDF" w:rsidP="002C6F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Завьялов Вадим Евгеньевич</w:t>
            </w:r>
          </w:p>
          <w:p w14:paraId="38E886C3" w14:textId="1DC3EBB8" w:rsidR="00EA1089" w:rsidRPr="004736E1" w:rsidRDefault="002C6FE9" w:rsidP="003B4F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8C0FDF"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4FBC" w:rsidRPr="004736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0FDF" w:rsidRPr="004736E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0FDF"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3B4FBC" w:rsidRPr="00473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FDF" w:rsidRPr="004736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B4FBC" w:rsidRPr="00473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FDF" w:rsidRPr="004736E1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EA1089" w:rsidRPr="004736E1" w14:paraId="50C4968E" w14:textId="77777777" w:rsidTr="00104CD5">
        <w:trPr>
          <w:trHeight w:val="787"/>
        </w:trPr>
        <w:tc>
          <w:tcPr>
            <w:tcW w:w="657" w:type="dxa"/>
          </w:tcPr>
          <w:p w14:paraId="0B94E525" w14:textId="77777777" w:rsidR="00EA1089" w:rsidRPr="004736E1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14:paraId="6A2777B5" w14:textId="77777777" w:rsidR="00EA1089" w:rsidRPr="004736E1" w:rsidRDefault="00726D90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организации строительно-монтажных работ, пусконаладочных работ и сдаче в эксплуатацию</w:t>
            </w:r>
          </w:p>
        </w:tc>
        <w:tc>
          <w:tcPr>
            <w:tcW w:w="5625" w:type="dxa"/>
          </w:tcPr>
          <w:p w14:paraId="07284E99" w14:textId="77777777" w:rsidR="00726D90" w:rsidRPr="004736E1" w:rsidRDefault="00726D90" w:rsidP="00726D90">
            <w:pPr>
              <w:ind w:left="1080"/>
              <w:rPr>
                <w:b/>
              </w:rPr>
            </w:pPr>
            <w:r w:rsidRPr="004736E1">
              <w:rPr>
                <w:b/>
              </w:rPr>
              <w:t>Состав работ:</w:t>
            </w:r>
          </w:p>
          <w:p w14:paraId="305BF004" w14:textId="6CE35031" w:rsidR="004B6679" w:rsidRPr="004736E1" w:rsidRDefault="00726D90" w:rsidP="00726D90">
            <w:r w:rsidRPr="004736E1">
              <w:t>Подрядчик обязан выполнить СМР и ПНР по автоматической установке водяного</w:t>
            </w:r>
            <w:r w:rsidR="004B6679" w:rsidRPr="004736E1">
              <w:t xml:space="preserve"> пожаротушения</w:t>
            </w:r>
            <w:r w:rsidR="00530A0E" w:rsidRPr="004736E1">
              <w:t xml:space="preserve"> </w:t>
            </w:r>
            <w:r w:rsidR="004B6679" w:rsidRPr="004736E1">
              <w:t>в соответствии</w:t>
            </w:r>
            <w:r w:rsidRPr="004736E1">
              <w:t xml:space="preserve"> с проектной документацией</w:t>
            </w:r>
            <w:r w:rsidR="004B6679" w:rsidRPr="004736E1">
              <w:t>:</w:t>
            </w:r>
          </w:p>
          <w:p w14:paraId="1C07E304" w14:textId="740ED454" w:rsidR="00530A0E" w:rsidRPr="004736E1" w:rsidRDefault="004B6679" w:rsidP="00A04503">
            <w:pPr>
              <w:autoSpaceDE w:val="0"/>
              <w:autoSpaceDN w:val="0"/>
              <w:adjustRightInd w:val="0"/>
              <w:rPr>
                <w:b/>
              </w:rPr>
            </w:pPr>
            <w:r w:rsidRPr="004736E1">
              <w:t>1.Ш</w:t>
            </w:r>
            <w:r w:rsidR="00726D90" w:rsidRPr="004736E1">
              <w:t xml:space="preserve">ифр </w:t>
            </w:r>
            <w:proofErr w:type="gramStart"/>
            <w:r w:rsidR="00726D90" w:rsidRPr="004736E1">
              <w:t xml:space="preserve">проекта: </w:t>
            </w:r>
            <w:r w:rsidR="008C0FDF" w:rsidRPr="004736E1">
              <w:t xml:space="preserve"> </w:t>
            </w:r>
            <w:r w:rsidR="00887C5A" w:rsidRPr="004736E1">
              <w:t xml:space="preserve"> </w:t>
            </w:r>
            <w:proofErr w:type="gramEnd"/>
            <w:r w:rsidR="00887C5A" w:rsidRPr="004736E1">
              <w:rPr>
                <w:b/>
              </w:rPr>
              <w:t>ПР-1033-АУПТ1</w:t>
            </w:r>
            <w:r w:rsidR="00A04503" w:rsidRPr="004736E1">
              <w:rPr>
                <w:b/>
              </w:rPr>
              <w:t xml:space="preserve"> Система автоматической установки водяного пожаротушения.</w:t>
            </w:r>
          </w:p>
          <w:p w14:paraId="405453D5" w14:textId="77777777" w:rsidR="004B6679" w:rsidRPr="004736E1" w:rsidRDefault="004B6679" w:rsidP="00726D90">
            <w:pPr>
              <w:ind w:firstLine="307"/>
              <w:rPr>
                <w:rFonts w:eastAsia="Calibri"/>
                <w:lang w:eastAsia="en-US"/>
              </w:rPr>
            </w:pPr>
          </w:p>
          <w:p w14:paraId="02EC2E6A" w14:textId="00E2A153" w:rsidR="00726D90" w:rsidRPr="004736E1" w:rsidRDefault="00726D90" w:rsidP="00726D90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Подрядчик выполняет работы в строгом соответствии с</w:t>
            </w:r>
            <w:r w:rsidR="00F02443" w:rsidRPr="004736E1">
              <w:rPr>
                <w:rFonts w:eastAsia="Calibri"/>
                <w:lang w:eastAsia="en-US"/>
              </w:rPr>
              <w:t xml:space="preserve"> действующими СНиП, ГОСТ и СП </w:t>
            </w:r>
            <w:r w:rsidRPr="004736E1">
              <w:rPr>
                <w:rFonts w:eastAsia="Calibri"/>
                <w:lang w:eastAsia="en-US"/>
              </w:rPr>
              <w:t>и ины</w:t>
            </w:r>
            <w:r w:rsidR="00F02443" w:rsidRPr="004736E1">
              <w:rPr>
                <w:rFonts w:eastAsia="Calibri"/>
                <w:lang w:eastAsia="en-US"/>
              </w:rPr>
              <w:t>ми</w:t>
            </w:r>
            <w:r w:rsidRPr="004736E1">
              <w:rPr>
                <w:rFonts w:eastAsia="Calibri"/>
                <w:lang w:eastAsia="en-US"/>
              </w:rPr>
              <w:t xml:space="preserve"> действующи</w:t>
            </w:r>
            <w:r w:rsidR="00F02443" w:rsidRPr="004736E1">
              <w:rPr>
                <w:rFonts w:eastAsia="Calibri"/>
                <w:lang w:eastAsia="en-US"/>
              </w:rPr>
              <w:t>ми</w:t>
            </w:r>
            <w:r w:rsidRPr="004736E1">
              <w:rPr>
                <w:rFonts w:eastAsia="Calibri"/>
                <w:lang w:eastAsia="en-US"/>
              </w:rPr>
              <w:t xml:space="preserve"> нормативны</w:t>
            </w:r>
            <w:r w:rsidR="00F02443" w:rsidRPr="004736E1">
              <w:rPr>
                <w:rFonts w:eastAsia="Calibri"/>
                <w:lang w:eastAsia="en-US"/>
              </w:rPr>
              <w:t>ми</w:t>
            </w:r>
            <w:r w:rsidRPr="004736E1">
              <w:rPr>
                <w:rFonts w:eastAsia="Calibri"/>
                <w:lang w:eastAsia="en-US"/>
              </w:rPr>
              <w:t xml:space="preserve"> документ</w:t>
            </w:r>
            <w:r w:rsidR="00F02443" w:rsidRPr="004736E1">
              <w:rPr>
                <w:rFonts w:eastAsia="Calibri"/>
                <w:lang w:eastAsia="en-US"/>
              </w:rPr>
              <w:t>ами</w:t>
            </w:r>
            <w:r w:rsidRPr="004736E1">
              <w:rPr>
                <w:rFonts w:eastAsia="Calibri"/>
                <w:lang w:eastAsia="en-US"/>
              </w:rPr>
              <w:t xml:space="preserve"> в части касающейся производства СМР и ПНР. </w:t>
            </w:r>
          </w:p>
          <w:p w14:paraId="39BD59C5" w14:textId="3ECB90EE" w:rsidR="00726D90" w:rsidRPr="004736E1" w:rsidRDefault="00726D90" w:rsidP="00726D90">
            <w:pPr>
              <w:spacing w:after="160" w:line="256" w:lineRule="auto"/>
              <w:contextualSpacing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Подрядчик обязан выполнить полный комплекс работ по монтажу </w:t>
            </w:r>
            <w:r w:rsidRPr="004736E1">
              <w:t>автоматической установки водяного пожаротушения</w:t>
            </w:r>
            <w:r w:rsidR="00CE30E5" w:rsidRPr="004736E1">
              <w:t xml:space="preserve"> и противопожарного водопровода</w:t>
            </w:r>
            <w:r w:rsidRPr="004736E1">
              <w:rPr>
                <w:rFonts w:eastAsia="Calibri"/>
                <w:lang w:eastAsia="en-US"/>
              </w:rPr>
              <w:t>.</w:t>
            </w:r>
          </w:p>
          <w:p w14:paraId="3029BC6D" w14:textId="77777777" w:rsidR="00726D90" w:rsidRPr="004736E1" w:rsidRDefault="00726D90" w:rsidP="00726D90">
            <w:pPr>
              <w:spacing w:after="160" w:line="256" w:lineRule="auto"/>
              <w:contextualSpacing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Спецификаци</w:t>
            </w:r>
            <w:r w:rsidR="004B6679" w:rsidRPr="004736E1">
              <w:rPr>
                <w:rFonts w:eastAsia="Calibri"/>
                <w:lang w:eastAsia="en-US"/>
              </w:rPr>
              <w:t>и</w:t>
            </w:r>
            <w:r w:rsidRPr="004736E1">
              <w:rPr>
                <w:rFonts w:eastAsia="Calibri"/>
                <w:lang w:eastAsia="en-US"/>
              </w:rPr>
              <w:t xml:space="preserve"> использован</w:t>
            </w:r>
            <w:r w:rsidR="004B6679" w:rsidRPr="004736E1">
              <w:rPr>
                <w:rFonts w:eastAsia="Calibri"/>
                <w:lang w:eastAsia="en-US"/>
              </w:rPr>
              <w:t>ы</w:t>
            </w:r>
            <w:r w:rsidRPr="004736E1">
              <w:rPr>
                <w:rFonts w:eastAsia="Calibri"/>
                <w:lang w:eastAsia="en-US"/>
              </w:rPr>
              <w:t xml:space="preserve"> для понимания </w:t>
            </w:r>
            <w:r w:rsidRPr="004736E1">
              <w:t xml:space="preserve">автоматической установки водяного пожаротушения </w:t>
            </w:r>
            <w:r w:rsidRPr="004736E1">
              <w:rPr>
                <w:rFonts w:eastAsia="Calibri"/>
                <w:lang w:eastAsia="en-US"/>
              </w:rPr>
              <w:t>и не является основанием для изменения общей стоимости работ.</w:t>
            </w:r>
          </w:p>
          <w:p w14:paraId="4C2E749E" w14:textId="77777777" w:rsidR="00726D90" w:rsidRPr="004736E1" w:rsidRDefault="00726D90" w:rsidP="00726D90">
            <w:pPr>
              <w:spacing w:after="160" w:line="256" w:lineRule="auto"/>
              <w:contextualSpacing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Стоимость полного комплекса работ является фиксированной и изменению </w:t>
            </w:r>
            <w:r w:rsidRPr="004736E1">
              <w:rPr>
                <w:rFonts w:eastAsia="Calibri"/>
                <w:u w:val="single"/>
                <w:lang w:eastAsia="en-US"/>
              </w:rPr>
              <w:t>не подлежит.</w:t>
            </w:r>
          </w:p>
          <w:p w14:paraId="2D3CB521" w14:textId="77777777" w:rsidR="00726D90" w:rsidRPr="004736E1" w:rsidRDefault="00726D90" w:rsidP="00726D90">
            <w:pPr>
              <w:spacing w:after="160" w:line="256" w:lineRule="auto"/>
              <w:contextualSpacing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В стоимость работ включён весь комплекс приемосдаточных и промежуточных испытаний систем в соответствии с действующей нормативной документацией, подготовку и передачу Заказчику   результатов испытаний.</w:t>
            </w:r>
          </w:p>
          <w:p w14:paraId="0CFD83C4" w14:textId="77777777" w:rsidR="006F5FC5" w:rsidRPr="004736E1" w:rsidRDefault="00726D90" w:rsidP="00726D90">
            <w:pPr>
              <w:shd w:val="clear" w:color="auto" w:fill="FFFFFF"/>
              <w:tabs>
                <w:tab w:val="left" w:pos="759"/>
              </w:tabs>
              <w:spacing w:before="75" w:after="75"/>
              <w:ind w:firstLine="693"/>
              <w:outlineLvl w:val="1"/>
              <w:rPr>
                <w:color w:val="333333"/>
              </w:rPr>
            </w:pPr>
            <w:r w:rsidRPr="004736E1">
              <w:rPr>
                <w:rFonts w:eastAsia="Calibri"/>
                <w:lang w:eastAsia="en-US"/>
              </w:rPr>
              <w:t xml:space="preserve">В состав работ, выполняемых Подрядчиком, входят все работы (включая сопутствующие строительно-монтажные работы: </w:t>
            </w:r>
            <w:proofErr w:type="spellStart"/>
            <w:r w:rsidRPr="004736E1">
              <w:rPr>
                <w:rFonts w:eastAsia="Calibri"/>
                <w:lang w:eastAsia="en-US"/>
              </w:rPr>
              <w:t>штробление</w:t>
            </w:r>
            <w:proofErr w:type="spellEnd"/>
            <w:r w:rsidRPr="004736E1">
              <w:rPr>
                <w:rFonts w:eastAsia="Calibri"/>
                <w:lang w:eastAsia="en-US"/>
              </w:rPr>
              <w:t>, сверление, устройство отверстий, заделки и т.д.), материалы и оборудование, необходимые для достижения результата и сдачи выполненных работ «под ключ», даже если они не указаны в Расчете стоимости.</w:t>
            </w:r>
          </w:p>
          <w:p w14:paraId="74B4A255" w14:textId="77777777" w:rsidR="00F556F6" w:rsidRPr="004736E1" w:rsidRDefault="00F556F6" w:rsidP="006C37F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6D90" w:rsidRPr="004736E1" w14:paraId="55CCB676" w14:textId="77777777" w:rsidTr="00104CD5">
        <w:trPr>
          <w:trHeight w:val="524"/>
        </w:trPr>
        <w:tc>
          <w:tcPr>
            <w:tcW w:w="657" w:type="dxa"/>
          </w:tcPr>
          <w:p w14:paraId="20D0B335" w14:textId="77777777" w:rsidR="00726D90" w:rsidRPr="004736E1" w:rsidRDefault="003B4FBC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14:paraId="0177C822" w14:textId="77777777" w:rsidR="00726D90" w:rsidRPr="004736E1" w:rsidRDefault="001F0BC7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работ</w:t>
            </w:r>
          </w:p>
        </w:tc>
        <w:tc>
          <w:tcPr>
            <w:tcW w:w="5625" w:type="dxa"/>
          </w:tcPr>
          <w:p w14:paraId="60573642" w14:textId="77777777" w:rsidR="001F0BC7" w:rsidRPr="004736E1" w:rsidRDefault="001F0BC7" w:rsidP="001F0BC7">
            <w:pPr>
              <w:ind w:firstLine="307"/>
              <w:rPr>
                <w:rFonts w:eastAsia="Calibri"/>
                <w:b/>
                <w:lang w:eastAsia="en-US"/>
              </w:rPr>
            </w:pPr>
            <w:r w:rsidRPr="004736E1">
              <w:rPr>
                <w:rFonts w:eastAsia="Calibri"/>
                <w:b/>
                <w:lang w:eastAsia="en-US"/>
              </w:rPr>
              <w:t>До начала СМР Подрядчик должен:</w:t>
            </w:r>
          </w:p>
          <w:p w14:paraId="0CC976A5" w14:textId="77777777" w:rsidR="001F0BC7" w:rsidRPr="004736E1" w:rsidRDefault="001F0BC7" w:rsidP="001F0BC7">
            <w:pPr>
              <w:numPr>
                <w:ilvl w:val="0"/>
                <w:numId w:val="4"/>
              </w:numPr>
              <w:ind w:firstLine="667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получить у Заказчика и изучить проектную (рабочую) документацию и детально ознакомиться с условиями производства работ. Все замечания и недостатки, выявленные в ходе изучения проектной документации в письменном виде передать Заказчику. Участвовать работе Комиссии (Заказчик, Проектировщик, Подрядчик) по устранению недостатков и замечаний проектно-сметной документации, согласованию и внесению изменений в проектно-сметную документацию;</w:t>
            </w:r>
          </w:p>
          <w:p w14:paraId="27D9444D" w14:textId="77777777" w:rsidR="001F0BC7" w:rsidRPr="004736E1" w:rsidRDefault="001F0BC7" w:rsidP="001F0BC7">
            <w:pPr>
              <w:numPr>
                <w:ilvl w:val="0"/>
                <w:numId w:val="4"/>
              </w:numPr>
              <w:ind w:right="-106" w:firstLine="667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lastRenderedPageBreak/>
              <w:t>разработать проект производства работ</w:t>
            </w:r>
            <w:r w:rsidR="00475F51" w:rsidRPr="004736E1">
              <w:rPr>
                <w:rFonts w:eastAsia="Calibri"/>
                <w:lang w:eastAsia="en-US"/>
              </w:rPr>
              <w:t xml:space="preserve"> и согласовать его у Заказчика.</w:t>
            </w:r>
            <w:r w:rsidRPr="004736E1">
              <w:rPr>
                <w:rFonts w:eastAsia="Calibri"/>
                <w:lang w:eastAsia="en-US"/>
              </w:rPr>
              <w:t xml:space="preserve"> Если работы по монтажу системы производятся при новом строительстве объекта, то проект производства работ должен быть разработан на основании и в соответствии с проектом организации строительства, обязательного для Подрядчика при выполнении работ по монтажу системы;</w:t>
            </w:r>
          </w:p>
          <w:p w14:paraId="551E05D4" w14:textId="77777777" w:rsidR="001F0BC7" w:rsidRPr="004736E1" w:rsidRDefault="001F0BC7" w:rsidP="001F0BC7">
            <w:pPr>
              <w:numPr>
                <w:ilvl w:val="0"/>
                <w:numId w:val="4"/>
              </w:numPr>
              <w:ind w:firstLine="667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разработать календарные планы и графики выполнения работ на каждую систему отдельно. </w:t>
            </w:r>
          </w:p>
          <w:p w14:paraId="7BD27745" w14:textId="77777777" w:rsidR="001F0BC7" w:rsidRPr="004736E1" w:rsidRDefault="001F0BC7" w:rsidP="001F0BC7">
            <w:pPr>
              <w:numPr>
                <w:ilvl w:val="0"/>
                <w:numId w:val="4"/>
              </w:numPr>
              <w:ind w:firstLine="667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согласовать проект производства работ, календарные планы и графики выполнения работ со смежными организациями, проводящими работы на объекте, и утвердить у Заказчика.  Перечисленные документы должны быть разработаны Подрядчиком в определенные Договором сроки до начала СМР.  Согласованные и утвержденные Заказчиком проекты производства работ, календарные планы и графики выполнения работ прилагаются к Договору на выполнение СМР и являются его неотъемлемой частью;</w:t>
            </w:r>
          </w:p>
          <w:p w14:paraId="5436896D" w14:textId="77777777" w:rsidR="001F0BC7" w:rsidRPr="004736E1" w:rsidRDefault="001F0BC7" w:rsidP="001F0BC7">
            <w:pPr>
              <w:numPr>
                <w:ilvl w:val="0"/>
                <w:numId w:val="4"/>
              </w:numPr>
              <w:ind w:firstLine="667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сформировать комплексные или специализированные бригады, обеспечить работников необходимыми средствами индивидуальной защиты и инструментом;</w:t>
            </w:r>
          </w:p>
          <w:p w14:paraId="4B430213" w14:textId="77777777" w:rsidR="001F0BC7" w:rsidRPr="004736E1" w:rsidRDefault="001F0BC7" w:rsidP="001F0BC7">
            <w:pPr>
              <w:numPr>
                <w:ilvl w:val="0"/>
                <w:numId w:val="4"/>
              </w:numPr>
              <w:ind w:firstLine="667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совместно с представителем Заказчика провести все необходимые инструктажи по правилам и мерам безопасности (под роспись инструктируемых в журнале инструктажей по ПТБ), оформить, если требуется, наряды-допуски;</w:t>
            </w:r>
          </w:p>
          <w:p w14:paraId="64B366D2" w14:textId="77777777" w:rsidR="001F0BC7" w:rsidRPr="004736E1" w:rsidRDefault="001F0BC7" w:rsidP="001F0BC7">
            <w:pPr>
              <w:numPr>
                <w:ilvl w:val="0"/>
                <w:numId w:val="4"/>
              </w:numPr>
              <w:ind w:firstLine="667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завести на объект специальный журнал учета выполненных работ. Если работы по монтажу системы выполняются на условиях подряда у генерального подрядчика, то на объекте генеральным подрядчиком заводится общий журнал работ, журнал авторского надзора проектных организаций и журнал технического надзора, а у субподрядчиков специальные журналы по отдельным видам работ;</w:t>
            </w:r>
          </w:p>
          <w:p w14:paraId="517C70E9" w14:textId="3C39A90E" w:rsidR="001F0BC7" w:rsidRPr="004736E1" w:rsidRDefault="001F0BC7" w:rsidP="001F0BC7">
            <w:pPr>
              <w:numPr>
                <w:ilvl w:val="0"/>
                <w:numId w:val="4"/>
              </w:numPr>
              <w:ind w:firstLine="667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провести входной контроль оборудования и материалов, предназначенных для монтажа на объекте в соответствии с требованиями </w:t>
            </w:r>
            <w:r w:rsidR="00DC74D2" w:rsidRPr="004736E1">
              <w:rPr>
                <w:rFonts w:eastAsia="Calibri"/>
                <w:lang w:eastAsia="en-US"/>
              </w:rPr>
              <w:t xml:space="preserve">и </w:t>
            </w:r>
            <w:r w:rsidRPr="004736E1">
              <w:rPr>
                <w:rFonts w:eastAsia="Calibri"/>
                <w:lang w:eastAsia="en-US"/>
              </w:rPr>
              <w:t xml:space="preserve">оформить актом. </w:t>
            </w:r>
          </w:p>
          <w:p w14:paraId="2E0486B1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1. оборудование, материалы и пр. должны иметь сертификаты соответствия, сертификаты пожарной безопасности, гигиенические сертификаты, выданные сертификационными органами Российской Федерации, а в случае, если сертификация оборудования, материалов не требуется – предоставить отказное письмо, заверенное уполномоченным органом;</w:t>
            </w:r>
          </w:p>
          <w:p w14:paraId="7EB00B4A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2. вся техническая документация, поставляемая заводом-изготовителем, (продавцом, иным поставщиком оборудования, материалов и пр.), все поясняющие надписи на оборудовании должны быть на русском языке.  Допускается использование переводов технической документации, заверенных уполномоченными органами – Закон о защите прав потребителей, ст. 8)</w:t>
            </w:r>
          </w:p>
          <w:p w14:paraId="42AE11AA" w14:textId="77777777" w:rsidR="001F0BC7" w:rsidRPr="004736E1" w:rsidRDefault="001F0BC7" w:rsidP="001F0BC7">
            <w:pPr>
              <w:ind w:firstLine="307"/>
              <w:rPr>
                <w:rFonts w:eastAsia="Calibri"/>
                <w:b/>
                <w:lang w:eastAsia="en-US"/>
              </w:rPr>
            </w:pPr>
            <w:r w:rsidRPr="004736E1">
              <w:rPr>
                <w:rFonts w:eastAsia="Calibri"/>
                <w:b/>
                <w:lang w:eastAsia="en-US"/>
              </w:rPr>
              <w:t>В случае невыполнения указанных требований оборудование, материалы и пр. использовать при производстве СМР ЗАПРЕЩАЕТСЯ, а смонтированные Подрядчиком в нарушение указанных требований оборудование, материалы и пр. подлежат демонтажу силами Подрядчика и за счет Подрядчика).</w:t>
            </w:r>
          </w:p>
          <w:p w14:paraId="2AE8834C" w14:textId="77777777" w:rsidR="00475F51" w:rsidRPr="004736E1" w:rsidRDefault="00475F51" w:rsidP="001F0BC7">
            <w:pPr>
              <w:ind w:firstLine="307"/>
              <w:rPr>
                <w:rFonts w:eastAsia="Calibri"/>
                <w:b/>
                <w:lang w:eastAsia="en-US"/>
              </w:rPr>
            </w:pPr>
          </w:p>
          <w:p w14:paraId="3501BA99" w14:textId="77777777" w:rsidR="001F0BC7" w:rsidRPr="004736E1" w:rsidRDefault="001F0BC7" w:rsidP="001F0BC7">
            <w:pPr>
              <w:ind w:firstLine="449"/>
              <w:rPr>
                <w:rFonts w:eastAsia="Calibri"/>
                <w:b/>
                <w:lang w:eastAsia="en-US"/>
              </w:rPr>
            </w:pPr>
            <w:r w:rsidRPr="004736E1">
              <w:rPr>
                <w:rFonts w:eastAsia="Calibri"/>
                <w:b/>
                <w:lang w:eastAsia="en-US"/>
              </w:rPr>
              <w:t>Организация строительного производства</w:t>
            </w:r>
          </w:p>
          <w:p w14:paraId="1E605E12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При производстве работ по монтажу систем Подрядчик обязан соблюдать требования, предусмотренные Государственными стандартами, Ведомственными </w:t>
            </w:r>
            <w:r w:rsidRPr="004736E1">
              <w:rPr>
                <w:rFonts w:eastAsia="Calibri"/>
                <w:lang w:eastAsia="en-US"/>
              </w:rPr>
              <w:lastRenderedPageBreak/>
              <w:t>строительными нормами России (ВСН), техническими условиями (ТУ), действующими правилами техники безопасности, Договором подряда на выполнение строительно-монтажных работ и настоящим Техническим заданием.</w:t>
            </w:r>
          </w:p>
          <w:p w14:paraId="72058DE3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До начала работ Подрядчик должен согласовать с органами государственного надзора, местной Администрацией и эксплуатационными организациями план производства работ с выделением опасных зон, границ и осей подземных сооружений и коммуникаций.</w:t>
            </w:r>
          </w:p>
          <w:p w14:paraId="5A2123E4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Подрядчик должен обладать необходимыми лицензиями на производство соответствующего вида работ, свидетельствами СРО и быть зарегистрированным юридическим лицом в установленном законодательством порядке. </w:t>
            </w:r>
          </w:p>
          <w:p w14:paraId="446AC75B" w14:textId="77777777" w:rsidR="001F0BC7" w:rsidRPr="004736E1" w:rsidRDefault="001F0BC7" w:rsidP="001F0BC7">
            <w:pPr>
              <w:ind w:firstLine="449"/>
              <w:rPr>
                <w:rFonts w:eastAsia="Calibri"/>
                <w:b/>
                <w:lang w:eastAsia="en-US"/>
              </w:rPr>
            </w:pPr>
            <w:r w:rsidRPr="004736E1">
              <w:rPr>
                <w:rFonts w:eastAsia="Calibri"/>
                <w:b/>
                <w:lang w:eastAsia="en-US"/>
              </w:rPr>
              <w:t>Подготовка строительного производства</w:t>
            </w:r>
          </w:p>
          <w:p w14:paraId="4F6ECC9E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До начала строительно-монтажных работ Подрядчик обязан:</w:t>
            </w:r>
          </w:p>
          <w:p w14:paraId="68ACAC14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получить у Заказчика проектно-сметную документацию в полном объеме со штампом «В производство работ»;</w:t>
            </w:r>
          </w:p>
          <w:p w14:paraId="43525D92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провести входной контроль проектно-сметной документации. При обнаружении недостатков в проектно-сметной документации и необходимости доработки и(или) внесении изменений в проектно-сметную документацию Подрядчик по согласованию с Заказчиком и Проектировщиком самостоятельно вносит все необходимые изменения;</w:t>
            </w:r>
          </w:p>
          <w:p w14:paraId="49DC8FDE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заключить с Заказчиком Договор подряда на строительство;</w:t>
            </w:r>
          </w:p>
          <w:p w14:paraId="2D880BB8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оформить необходимые разрешения (ордера) и допуски на производство работ;</w:t>
            </w:r>
          </w:p>
          <w:p w14:paraId="5736640A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организовать поставки на строительную площадку материалов, оборудования, конструкций и готовых изделий;</w:t>
            </w:r>
          </w:p>
          <w:p w14:paraId="5CA8B770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при необходимости подготовить автотранспорт и механизмы;</w:t>
            </w:r>
          </w:p>
          <w:p w14:paraId="4F921B6E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 поставить на строительную площадку и складировать оборудование, материалы, нетиповые изделия и т.д.;</w:t>
            </w:r>
          </w:p>
          <w:p w14:paraId="33331956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сформировать подразделения рабочей силы в соответствии с расчетом ее потребности, а также инструмента, инвентаря, средств малой механизации и измерительной аппаратуры;</w:t>
            </w:r>
          </w:p>
          <w:p w14:paraId="4A5FD1EE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при необходимости изыскать и подготовить жилье для рабочих.</w:t>
            </w:r>
          </w:p>
          <w:p w14:paraId="5905818F" w14:textId="77777777" w:rsidR="001F0BC7" w:rsidRPr="004736E1" w:rsidRDefault="001F0BC7" w:rsidP="001F0BC7">
            <w:pPr>
              <w:ind w:firstLine="449"/>
              <w:rPr>
                <w:rFonts w:eastAsia="Calibri"/>
                <w:b/>
                <w:lang w:eastAsia="en-US"/>
              </w:rPr>
            </w:pPr>
            <w:r w:rsidRPr="004736E1">
              <w:rPr>
                <w:rFonts w:eastAsia="Calibri"/>
                <w:b/>
                <w:lang w:eastAsia="en-US"/>
              </w:rPr>
              <w:t>Контроль качества строительно-монтажных работ</w:t>
            </w:r>
          </w:p>
          <w:p w14:paraId="43482C95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Контроль качества СМР должен осуществляться на всех стадиях их выполнения и подразделяется на следующие формы: входной; операционный; приемочный; инспекционный.</w:t>
            </w:r>
          </w:p>
          <w:p w14:paraId="42E31D9B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При входном контроле Подрядчик обязан произвести проверку соответствия поступающих на строительство проектно-сметной документации, оборудования, конструкций, монтажных узлов и материалов установленным требованиям. При этом проверяется также соблюдение правил их транспортирования, складирования и хранения.</w:t>
            </w:r>
          </w:p>
          <w:p w14:paraId="1DF3961B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Состав проверок, испытаний и измерений, осуществляемых в процессе входного контроля, и порядок их оформления определяются соответствующими инструкциями. Проверка электрических параметров оборудования производится после его монтажа.</w:t>
            </w:r>
          </w:p>
          <w:p w14:paraId="24D258A3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При операционном контроле Подрядчик производит проверку технологической дисциплины и качества работ в процессе выполнения и после завершения определенной производственной операции. </w:t>
            </w:r>
          </w:p>
          <w:p w14:paraId="349F1BFD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Состав и порядок операционного контроля устанавливается настоящим Техническим заданием и является обязательным для Подрядчика. Результаты операционного контроля оформляются соответствующими Актами и являются неотъемлемой частью исполнительной документации, передаваемой Подрядчиком Заказчику при сдача-приемке выполненных работ.</w:t>
            </w:r>
          </w:p>
          <w:p w14:paraId="57018A48" w14:textId="77777777" w:rsidR="001F0BC7" w:rsidRPr="004736E1" w:rsidRDefault="001F0BC7" w:rsidP="001F0BC7">
            <w:pPr>
              <w:rPr>
                <w:rFonts w:eastAsia="Calibri"/>
                <w:b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         </w:t>
            </w:r>
            <w:r w:rsidRPr="004736E1">
              <w:rPr>
                <w:rFonts w:eastAsia="Calibri"/>
                <w:b/>
                <w:lang w:eastAsia="en-US"/>
              </w:rPr>
              <w:t>ПНР:</w:t>
            </w:r>
          </w:p>
          <w:p w14:paraId="7122D008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       После СМР подрядчик должен:</w:t>
            </w:r>
          </w:p>
          <w:p w14:paraId="5F93C7FA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                     Составить акт об окончании монтажных работ</w:t>
            </w:r>
          </w:p>
          <w:p w14:paraId="436BB270" w14:textId="404D343B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                     Произвести пуско-наладочные работы</w:t>
            </w:r>
            <w:r w:rsidR="00555286" w:rsidRPr="004736E1">
              <w:rPr>
                <w:rFonts w:eastAsia="Calibri"/>
                <w:lang w:eastAsia="en-US"/>
              </w:rPr>
              <w:t xml:space="preserve"> </w:t>
            </w:r>
            <w:r w:rsidRPr="004736E1">
              <w:rPr>
                <w:rFonts w:eastAsia="Calibri"/>
                <w:lang w:eastAsia="en-US"/>
              </w:rPr>
              <w:t>(ПНР)</w:t>
            </w:r>
          </w:p>
          <w:p w14:paraId="15A94CC1" w14:textId="77777777" w:rsidR="001F0BC7" w:rsidRPr="004736E1" w:rsidRDefault="001F0BC7" w:rsidP="001F0BC7">
            <w:pPr>
              <w:ind w:firstLine="449"/>
              <w:rPr>
                <w:rFonts w:eastAsia="Calibri"/>
                <w:b/>
                <w:lang w:eastAsia="en-US"/>
              </w:rPr>
            </w:pPr>
            <w:r w:rsidRPr="004736E1">
              <w:rPr>
                <w:rFonts w:eastAsia="Calibri"/>
                <w:b/>
                <w:lang w:eastAsia="en-US"/>
              </w:rPr>
              <w:t>Сдача в эксплуатацию</w:t>
            </w:r>
          </w:p>
          <w:p w14:paraId="1AF24854" w14:textId="5A51B66A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Приемка в эксплуатацию смонтированных </w:t>
            </w:r>
            <w:r w:rsidR="00475F51" w:rsidRPr="004736E1">
              <w:rPr>
                <w:rFonts w:eastAsia="Calibri"/>
                <w:lang w:eastAsia="en-US"/>
              </w:rPr>
              <w:t>систем</w:t>
            </w:r>
            <w:r w:rsidRPr="004736E1">
              <w:rPr>
                <w:rFonts w:eastAsia="Calibri"/>
                <w:lang w:eastAsia="en-US"/>
              </w:rPr>
              <w:t xml:space="preserve"> осуществляется в соответствии с требованиями СНиП </w:t>
            </w:r>
            <w:r w:rsidR="00DC74D2" w:rsidRPr="004736E1">
              <w:rPr>
                <w:rFonts w:eastAsia="Calibri"/>
                <w:lang w:eastAsia="en-US"/>
              </w:rPr>
              <w:t>и СП.</w:t>
            </w:r>
          </w:p>
          <w:p w14:paraId="5BCD8B8A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Рабочая комиссия, назначенная </w:t>
            </w:r>
            <w:proofErr w:type="gramStart"/>
            <w:r w:rsidRPr="004736E1">
              <w:rPr>
                <w:rFonts w:eastAsia="Calibri"/>
                <w:lang w:eastAsia="en-US"/>
              </w:rPr>
              <w:t>Заказчиком</w:t>
            </w:r>
            <w:proofErr w:type="gramEnd"/>
            <w:r w:rsidRPr="004736E1">
              <w:rPr>
                <w:rFonts w:eastAsia="Calibri"/>
                <w:lang w:eastAsia="en-US"/>
              </w:rPr>
              <w:t xml:space="preserve"> проверяет: </w:t>
            </w:r>
          </w:p>
          <w:p w14:paraId="776F22D8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соответствие объектов и систем проектам;</w:t>
            </w:r>
          </w:p>
          <w:p w14:paraId="7D98A004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 соответствие выполнения строительно-монтажных работ требованиям строительных норм и правил;</w:t>
            </w:r>
          </w:p>
          <w:p w14:paraId="633FBADA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-  подготовленность систем к эксплуатации.</w:t>
            </w:r>
          </w:p>
          <w:p w14:paraId="1EF031B6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Рабочая комиссия назначается приказом Заказчика не позднее чем в пятидневный срок после получения письменного извещения Подрядчика и готовности систем к приемке.</w:t>
            </w:r>
          </w:p>
          <w:p w14:paraId="7FAFD7E6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 В состав рабочей комиссии включаются представители: Заказчика - председатель комиссии, Подрядчика, эксплуатационной и проектной организаций, иных заинтересованных организаций. </w:t>
            </w:r>
          </w:p>
          <w:p w14:paraId="17FA8905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 В обязанности Комиссии входит:</w:t>
            </w:r>
          </w:p>
          <w:p w14:paraId="01673F0A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а) проверка исполнительной документации на комплектность, полноту содержания и качество исполнения;</w:t>
            </w:r>
          </w:p>
          <w:p w14:paraId="70EA1B47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б) проверка соответствия выполненных строительно-монтажных работ проектно-сметной документации и согласованным отступлениям от проекта;</w:t>
            </w:r>
          </w:p>
          <w:p w14:paraId="602558EB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в) освидетельствование выполненных работ, проверка их качества, проведение выборочных испытаний, проверок и электрических измерений в соответствии с Технической программой приемки;</w:t>
            </w:r>
          </w:p>
          <w:p w14:paraId="13D12AEE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г) проверка готовности смонтированных систем к эксплуатации;</w:t>
            </w:r>
          </w:p>
          <w:p w14:paraId="5A68B417" w14:textId="77777777" w:rsidR="001F0BC7" w:rsidRPr="004736E1" w:rsidRDefault="001F0BC7" w:rsidP="001F0BC7">
            <w:pPr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д) приемка смонтированной систем от Подрядчика с составлением Акта приемки в эксплуатацию.</w:t>
            </w:r>
          </w:p>
          <w:p w14:paraId="7DD1C911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Порядок и продолжительность работы рабочей комиссии определяются Заказчиком по согласованию с Подрядчиком.</w:t>
            </w:r>
          </w:p>
          <w:p w14:paraId="741B94E6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Подрядчик представляет рабочей комиссии исполнительную документацию. Она должна состоять из рабочих чертежей в объеме, полученном от Заказчика, откорректированных Подрядчиком в соответствии с фактически произведенными работами, а также из документов по монтажным работам, электрическим измерениям, испытаниям и проверкам.</w:t>
            </w:r>
          </w:p>
          <w:p w14:paraId="612C21FB" w14:textId="77777777" w:rsidR="001F0BC7" w:rsidRPr="004736E1" w:rsidRDefault="001F0BC7" w:rsidP="001F0BC7">
            <w:pPr>
              <w:rPr>
                <w:rFonts w:eastAsia="Calibri"/>
                <w:b/>
                <w:lang w:eastAsia="en-US"/>
              </w:rPr>
            </w:pPr>
          </w:p>
          <w:p w14:paraId="75207FB5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Подрядчик должен предъявить рабочей комиссии следующую документацию:</w:t>
            </w:r>
          </w:p>
          <w:p w14:paraId="7AD047AC" w14:textId="41EF4522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1. Исполнительную (рабочий проект с внесенными установленным порядком изменениями и другие документы, разработанные в рамках проектных работ), оформленную в соответствии с территориальными строительными нормами – на бумажном носителе - в 3-х экземплярах; на электронном носителе </w:t>
            </w:r>
            <w:r w:rsidR="00DC74D2" w:rsidRPr="004736E1">
              <w:rPr>
                <w:rFonts w:eastAsia="Calibri"/>
                <w:lang w:val="en-US" w:eastAsia="en-US"/>
              </w:rPr>
              <w:t>PDF</w:t>
            </w:r>
            <w:r w:rsidR="00DC74D2" w:rsidRPr="004736E1">
              <w:rPr>
                <w:rFonts w:eastAsia="Calibri"/>
                <w:lang w:eastAsia="en-US"/>
              </w:rPr>
              <w:t xml:space="preserve">, а так же </w:t>
            </w:r>
            <w:r w:rsidRPr="004736E1">
              <w:rPr>
                <w:rFonts w:eastAsia="Calibri"/>
                <w:lang w:eastAsia="en-US"/>
              </w:rPr>
              <w:t>(графическая часть в формате .</w:t>
            </w:r>
            <w:proofErr w:type="spellStart"/>
            <w:r w:rsidRPr="004736E1">
              <w:rPr>
                <w:rFonts w:eastAsia="Calibri"/>
                <w:lang w:eastAsia="en-US"/>
              </w:rPr>
              <w:t>dwg</w:t>
            </w:r>
            <w:proofErr w:type="spellEnd"/>
            <w:r w:rsidRPr="004736E1">
              <w:rPr>
                <w:rFonts w:eastAsia="Calibri"/>
                <w:lang w:eastAsia="en-US"/>
              </w:rPr>
              <w:t xml:space="preserve"> (версия САПР AutoCAD не ранее 2010 года), текстовые документы в формате .</w:t>
            </w:r>
            <w:proofErr w:type="spellStart"/>
            <w:r w:rsidRPr="004736E1">
              <w:rPr>
                <w:rFonts w:eastAsia="Calibri"/>
                <w:lang w:eastAsia="en-US"/>
              </w:rPr>
              <w:t>doc</w:t>
            </w:r>
            <w:proofErr w:type="spellEnd"/>
            <w:r w:rsidRPr="004736E1">
              <w:rPr>
                <w:rFonts w:eastAsia="Calibri"/>
                <w:lang w:eastAsia="en-US"/>
              </w:rPr>
              <w:t xml:space="preserve"> или .</w:t>
            </w:r>
            <w:proofErr w:type="spellStart"/>
            <w:r w:rsidRPr="004736E1">
              <w:rPr>
                <w:rFonts w:eastAsia="Calibri"/>
                <w:lang w:eastAsia="en-US"/>
              </w:rPr>
              <w:t>docx</w:t>
            </w:r>
            <w:proofErr w:type="spellEnd"/>
            <w:r w:rsidRPr="004736E1">
              <w:rPr>
                <w:rFonts w:eastAsia="Calibri"/>
                <w:lang w:eastAsia="en-US"/>
              </w:rPr>
              <w:t>) – в 1-м экземпляре;</w:t>
            </w:r>
          </w:p>
          <w:p w14:paraId="235A9AAE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2. Техническую (формуляры, паспорта, технические описания предприятий-изготовителей оборудования, сертификаты и другие документы, удостоверяющие качество материалов, изделий и оборудования, применяемых при производстве работ);</w:t>
            </w:r>
          </w:p>
          <w:p w14:paraId="65ECCF2A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3. Производственную (Акты, протоколы измерений, программы испытаний, методики, результаты экспертиз и т.д.).</w:t>
            </w:r>
          </w:p>
          <w:p w14:paraId="48D462D0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В случаях, когда в результате работы комиссии были выявлены какие-то недостатки, которые нельзя устранить в процессе работы комиссии, составляется акт о выявленных дефектах. На основании этого акта Подрядчик должен устранить недостатки в оговоренный срок и вновь представить систем к сдаче в эксплуатацию. </w:t>
            </w:r>
          </w:p>
          <w:p w14:paraId="16DF9643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Если в результате испытаний выявились отклонения от проектных решений, которые не влияют на работу смонтированных </w:t>
            </w:r>
            <w:r w:rsidR="00475F51" w:rsidRPr="004736E1">
              <w:rPr>
                <w:rFonts w:eastAsia="Calibri"/>
                <w:lang w:eastAsia="en-US"/>
              </w:rPr>
              <w:t>систем</w:t>
            </w:r>
            <w:r w:rsidRPr="004736E1">
              <w:rPr>
                <w:rFonts w:eastAsia="Calibri"/>
                <w:lang w:eastAsia="en-US"/>
              </w:rPr>
              <w:t xml:space="preserve"> или даже улучшают некоторые характеристики, то оформляется протокол согласования. Этот документ является основанием для внесения согласованных отклонений в проектную документацию.</w:t>
            </w:r>
          </w:p>
          <w:p w14:paraId="1A9453DF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Рабочая комиссия составляет акт приемки в эксплуатацию.</w:t>
            </w:r>
          </w:p>
          <w:p w14:paraId="47624915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>Подписание акта является моментом окончания работ Подрядчиком и основанием для проведения окончательных расчетов между Подрядчиком и Заказчиком.</w:t>
            </w:r>
          </w:p>
          <w:p w14:paraId="209A97E0" w14:textId="77777777" w:rsidR="001F0BC7" w:rsidRPr="004736E1" w:rsidRDefault="001F0BC7" w:rsidP="001F0BC7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Точкой отсчета начала </w:t>
            </w:r>
            <w:proofErr w:type="gramStart"/>
            <w:r w:rsidRPr="004736E1">
              <w:rPr>
                <w:rFonts w:eastAsia="Calibri"/>
                <w:lang w:eastAsia="en-US"/>
              </w:rPr>
              <w:t>эксплуатации</w:t>
            </w:r>
            <w:proofErr w:type="gramEnd"/>
            <w:r w:rsidRPr="004736E1">
              <w:rPr>
                <w:rFonts w:eastAsia="Calibri"/>
                <w:lang w:eastAsia="en-US"/>
              </w:rPr>
              <w:t xml:space="preserve"> смонтированной систем является приказ о приемке систем в эксплуатацию.</w:t>
            </w:r>
          </w:p>
          <w:p w14:paraId="41B848C6" w14:textId="5E68379A" w:rsidR="00726D90" w:rsidRPr="004736E1" w:rsidRDefault="001F0BC7" w:rsidP="001F7995">
            <w:pPr>
              <w:ind w:firstLine="449"/>
              <w:rPr>
                <w:rFonts w:eastAsia="Calibri"/>
                <w:lang w:eastAsia="en-US"/>
              </w:rPr>
            </w:pPr>
            <w:r w:rsidRPr="004736E1">
              <w:rPr>
                <w:rFonts w:eastAsia="Calibri"/>
                <w:lang w:eastAsia="en-US"/>
              </w:rPr>
              <w:t xml:space="preserve">На основании Акта о приемке систем в эксплуатацию Заказчик издает приказ о приемке систем в эксплуатацию. В приказе должен быть указан номер и дата акта приемки, назначены ответственные лица или подразделения за техническое состояние и сохранность систем. </w:t>
            </w:r>
          </w:p>
        </w:tc>
      </w:tr>
      <w:tr w:rsidR="00EA1089" w:rsidRPr="004736E1" w14:paraId="1A5A0656" w14:textId="77777777" w:rsidTr="001F7995">
        <w:trPr>
          <w:trHeight w:val="446"/>
        </w:trPr>
        <w:tc>
          <w:tcPr>
            <w:tcW w:w="657" w:type="dxa"/>
          </w:tcPr>
          <w:p w14:paraId="2980A13D" w14:textId="77777777" w:rsidR="00EA1089" w:rsidRPr="004736E1" w:rsidRDefault="003B4FBC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0" w:type="dxa"/>
          </w:tcPr>
          <w:p w14:paraId="46B668DE" w14:textId="77777777" w:rsidR="00EA1089" w:rsidRPr="004736E1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Условия договора</w:t>
            </w:r>
          </w:p>
        </w:tc>
        <w:tc>
          <w:tcPr>
            <w:tcW w:w="5625" w:type="dxa"/>
          </w:tcPr>
          <w:p w14:paraId="5EE1DFF8" w14:textId="77777777" w:rsidR="00EA1089" w:rsidRPr="004736E1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В прилагаемом проекте договора (применительно)</w:t>
            </w:r>
          </w:p>
        </w:tc>
      </w:tr>
      <w:tr w:rsidR="00EA1089" w:rsidRPr="004736E1" w14:paraId="19C7C439" w14:textId="77777777" w:rsidTr="00104CD5">
        <w:trPr>
          <w:trHeight w:val="650"/>
        </w:trPr>
        <w:tc>
          <w:tcPr>
            <w:tcW w:w="657" w:type="dxa"/>
          </w:tcPr>
          <w:p w14:paraId="0AB1D189" w14:textId="77777777" w:rsidR="00EA1089" w:rsidRPr="004736E1" w:rsidRDefault="003B4FBC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14:paraId="62C02266" w14:textId="77777777" w:rsidR="00EA1089" w:rsidRPr="004736E1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</w:t>
            </w:r>
          </w:p>
          <w:p w14:paraId="7FF494A4" w14:textId="77777777" w:rsidR="00EA1089" w:rsidRPr="004736E1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5625" w:type="dxa"/>
          </w:tcPr>
          <w:p w14:paraId="73F30F19" w14:textId="77777777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Успешный опыт аналогичной работы на крупных объектах.</w:t>
            </w:r>
          </w:p>
          <w:p w14:paraId="020BCD18" w14:textId="4E9717C2" w:rsidR="00EA1089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Допуски СРО и лицензии</w:t>
            </w:r>
          </w:p>
        </w:tc>
      </w:tr>
      <w:tr w:rsidR="00EA1089" w:rsidRPr="004736E1" w14:paraId="64497727" w14:textId="77777777" w:rsidTr="00104CD5">
        <w:tc>
          <w:tcPr>
            <w:tcW w:w="657" w:type="dxa"/>
          </w:tcPr>
          <w:p w14:paraId="1FBF8286" w14:textId="77777777" w:rsidR="00EA1089" w:rsidRPr="004736E1" w:rsidRDefault="003B4FBC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14:paraId="10FF018F" w14:textId="77777777" w:rsidR="00EA1089" w:rsidRPr="004736E1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5625" w:type="dxa"/>
          </w:tcPr>
          <w:p w14:paraId="2634876B" w14:textId="77777777" w:rsidR="00887C5A" w:rsidRPr="004736E1" w:rsidRDefault="00887C5A" w:rsidP="00887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ЖК "Академик</w:t>
            </w:r>
            <w:proofErr w:type="gramStart"/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"  по</w:t>
            </w:r>
            <w:proofErr w:type="gramEnd"/>
            <w:r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адресу: г. Санкт Петербург, Пискаревский проспект, земельный участок с кадастровым номером 78:11:0005607:1634 1 этап строительства, (Паркинг)</w:t>
            </w:r>
          </w:p>
          <w:p w14:paraId="21EB8B3D" w14:textId="4ED175D1" w:rsidR="00EA1089" w:rsidRPr="004736E1" w:rsidRDefault="00EA1089" w:rsidP="00530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443" w:rsidRPr="004736E1" w14:paraId="2C9F9CDD" w14:textId="77777777" w:rsidTr="003B766B">
        <w:trPr>
          <w:trHeight w:val="330"/>
        </w:trPr>
        <w:tc>
          <w:tcPr>
            <w:tcW w:w="657" w:type="dxa"/>
          </w:tcPr>
          <w:p w14:paraId="716D04C2" w14:textId="77777777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14:paraId="7E5C6E66" w14:textId="222F4745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5625" w:type="dxa"/>
            <w:shd w:val="clear" w:color="auto" w:fill="FFFFFF" w:themeFill="background1"/>
          </w:tcPr>
          <w:p w14:paraId="3B043CDC" w14:textId="3B18D373" w:rsidR="00F02443" w:rsidRPr="004736E1" w:rsidRDefault="003B766B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B73AD"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F02443"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87C5A" w:rsidRPr="0047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443"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02443" w:rsidRPr="004736E1" w14:paraId="59738E79" w14:textId="77777777" w:rsidTr="00DC2D40">
        <w:tc>
          <w:tcPr>
            <w:tcW w:w="657" w:type="dxa"/>
          </w:tcPr>
          <w:p w14:paraId="02519511" w14:textId="77777777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14:paraId="0ED06B4B" w14:textId="76E3E8BE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</w:t>
            </w:r>
          </w:p>
        </w:tc>
        <w:tc>
          <w:tcPr>
            <w:tcW w:w="5625" w:type="dxa"/>
            <w:shd w:val="clear" w:color="auto" w:fill="FFFFFF" w:themeFill="background1"/>
          </w:tcPr>
          <w:p w14:paraId="6CB0E5FA" w14:textId="60535DA6" w:rsidR="00F02443" w:rsidRPr="004736E1" w:rsidRDefault="00555286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C5A" w:rsidRPr="0047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443"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C5A" w:rsidRPr="004736E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EB73AD"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02443" w:rsidRPr="004736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87C5A" w:rsidRPr="00473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443"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F02443" w:rsidRPr="004736E1" w14:paraId="7A4D0ABE" w14:textId="77777777" w:rsidTr="00DC74D2">
        <w:trPr>
          <w:trHeight w:val="834"/>
        </w:trPr>
        <w:tc>
          <w:tcPr>
            <w:tcW w:w="657" w:type="dxa"/>
          </w:tcPr>
          <w:p w14:paraId="412D8C1A" w14:textId="77777777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14:paraId="0B649A9D" w14:textId="77777777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79C375C4" w14:textId="05F14450" w:rsidR="00F02443" w:rsidRPr="004736E1" w:rsidRDefault="00F02443" w:rsidP="00DC74D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Анкета участника (Приложение № 1); </w:t>
            </w:r>
          </w:p>
          <w:p w14:paraId="5A89E4D3" w14:textId="388F87F1" w:rsidR="00F02443" w:rsidRPr="004736E1" w:rsidRDefault="00F02443" w:rsidP="00DC74D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Расчет договорной цены (Приложение № 2);</w:t>
            </w:r>
          </w:p>
          <w:p w14:paraId="169AADD3" w14:textId="43CE9F21" w:rsidR="00F02443" w:rsidRPr="004736E1" w:rsidRDefault="00F02443" w:rsidP="00DC74D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выполненных и </w:t>
            </w:r>
            <w:proofErr w:type="gramStart"/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текущих работ</w:t>
            </w:r>
            <w:proofErr w:type="gramEnd"/>
            <w:r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работал Подрядчик с контактами Заказчика.</w:t>
            </w:r>
          </w:p>
          <w:p w14:paraId="5491D960" w14:textId="5808A0C1" w:rsidR="00F02443" w:rsidRPr="004736E1" w:rsidRDefault="00DC74D2" w:rsidP="004736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 должна существовать на рынке не менее полугода.</w:t>
            </w:r>
          </w:p>
        </w:tc>
      </w:tr>
      <w:tr w:rsidR="00F02443" w:rsidRPr="004736E1" w14:paraId="55890B16" w14:textId="77777777" w:rsidTr="00104CD5">
        <w:tc>
          <w:tcPr>
            <w:tcW w:w="657" w:type="dxa"/>
          </w:tcPr>
          <w:p w14:paraId="78A2172D" w14:textId="77777777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14:paraId="7D6018CC" w14:textId="77777777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1134DD05" w14:textId="77777777" w:rsidR="004736E1" w:rsidRPr="004736E1" w:rsidRDefault="004736E1" w:rsidP="004736E1">
            <w:pPr>
              <w:rPr>
                <w:u w:val="single"/>
              </w:rPr>
            </w:pPr>
            <w:r w:rsidRPr="004736E1">
              <w:t xml:space="preserve">Коммерческое предложение подаётся в электронном виде на сайте </w:t>
            </w:r>
            <w:proofErr w:type="spellStart"/>
            <w:r w:rsidRPr="004736E1">
              <w:rPr>
                <w:u w:val="single"/>
              </w:rPr>
              <w:t>Росэлторг.Бизнес</w:t>
            </w:r>
            <w:proofErr w:type="spellEnd"/>
            <w:r w:rsidRPr="004736E1">
              <w:t xml:space="preserve"> и/или на почту </w:t>
            </w:r>
            <w:hyperlink r:id="rId5" w:history="1">
              <w:r w:rsidRPr="004736E1">
                <w:rPr>
                  <w:rStyle w:val="a4"/>
                  <w:lang w:val="en-US"/>
                </w:rPr>
                <w:t>tender</w:t>
              </w:r>
              <w:r w:rsidRPr="004736E1">
                <w:rPr>
                  <w:rStyle w:val="a4"/>
                </w:rPr>
                <w:t>3@</w:t>
              </w:r>
              <w:proofErr w:type="spellStart"/>
              <w:r w:rsidRPr="004736E1">
                <w:rPr>
                  <w:rStyle w:val="a4"/>
                  <w:lang w:val="en-US"/>
                </w:rPr>
                <w:t>rsti</w:t>
              </w:r>
              <w:proofErr w:type="spellEnd"/>
              <w:r w:rsidRPr="004736E1">
                <w:rPr>
                  <w:rStyle w:val="a4"/>
                </w:rPr>
                <w:t>.</w:t>
              </w:r>
              <w:proofErr w:type="spellStart"/>
              <w:r w:rsidRPr="004736E1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3B9B729F" w14:textId="2A86D20C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443" w:rsidRPr="004736E1" w14:paraId="7B130ACC" w14:textId="77777777" w:rsidTr="00104CD5">
        <w:tc>
          <w:tcPr>
            <w:tcW w:w="657" w:type="dxa"/>
          </w:tcPr>
          <w:p w14:paraId="057B3638" w14:textId="77777777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14:paraId="62DBB30C" w14:textId="77777777" w:rsidR="00F02443" w:rsidRPr="004736E1" w:rsidRDefault="00F02443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Срок подачи коммерческого предложения</w:t>
            </w:r>
          </w:p>
        </w:tc>
        <w:tc>
          <w:tcPr>
            <w:tcW w:w="5625" w:type="dxa"/>
          </w:tcPr>
          <w:p w14:paraId="2170AFC0" w14:textId="49F9ED1A" w:rsidR="00F02443" w:rsidRPr="004736E1" w:rsidRDefault="00F378C0" w:rsidP="00F02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2443" w:rsidRPr="004736E1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</w:p>
        </w:tc>
      </w:tr>
    </w:tbl>
    <w:p w14:paraId="19DC1C91" w14:textId="77777777" w:rsidR="00FE57E9" w:rsidRPr="007E167C" w:rsidRDefault="00FE57E9"/>
    <w:sectPr w:rsidR="00FE57E9" w:rsidRPr="007E167C" w:rsidSect="006C37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2206"/>
    <w:multiLevelType w:val="hybridMultilevel"/>
    <w:tmpl w:val="E120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3573"/>
    <w:multiLevelType w:val="hybridMultilevel"/>
    <w:tmpl w:val="4FA86346"/>
    <w:lvl w:ilvl="0" w:tplc="BA9A209A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" w15:restartNumberingAfterBreak="0">
    <w:nsid w:val="53040100"/>
    <w:multiLevelType w:val="hybridMultilevel"/>
    <w:tmpl w:val="A70C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3653"/>
    <w:multiLevelType w:val="hybridMultilevel"/>
    <w:tmpl w:val="B4C442C2"/>
    <w:lvl w:ilvl="0" w:tplc="E3C21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44D11"/>
    <w:multiLevelType w:val="hybridMultilevel"/>
    <w:tmpl w:val="94A4CE08"/>
    <w:lvl w:ilvl="0" w:tplc="D6A86C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C14D4"/>
    <w:multiLevelType w:val="hybridMultilevel"/>
    <w:tmpl w:val="8AB8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089">
    <w:abstractNumId w:val="6"/>
  </w:num>
  <w:num w:numId="2" w16cid:durableId="1559589244">
    <w:abstractNumId w:val="5"/>
  </w:num>
  <w:num w:numId="3" w16cid:durableId="1641114455">
    <w:abstractNumId w:val="3"/>
  </w:num>
  <w:num w:numId="4" w16cid:durableId="1514605892">
    <w:abstractNumId w:val="1"/>
  </w:num>
  <w:num w:numId="5" w16cid:durableId="2030986169">
    <w:abstractNumId w:val="4"/>
  </w:num>
  <w:num w:numId="6" w16cid:durableId="1952587446">
    <w:abstractNumId w:val="2"/>
  </w:num>
  <w:num w:numId="7" w16cid:durableId="159501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F7"/>
    <w:rsid w:val="00015A4F"/>
    <w:rsid w:val="0002112B"/>
    <w:rsid w:val="00076776"/>
    <w:rsid w:val="00087F41"/>
    <w:rsid w:val="000F7195"/>
    <w:rsid w:val="00143A70"/>
    <w:rsid w:val="00175D64"/>
    <w:rsid w:val="0018219A"/>
    <w:rsid w:val="001A29BA"/>
    <w:rsid w:val="001F0BC7"/>
    <w:rsid w:val="001F32A3"/>
    <w:rsid w:val="001F7995"/>
    <w:rsid w:val="00222318"/>
    <w:rsid w:val="002410D8"/>
    <w:rsid w:val="00276049"/>
    <w:rsid w:val="00277E92"/>
    <w:rsid w:val="002B544A"/>
    <w:rsid w:val="002C6FE9"/>
    <w:rsid w:val="002D76A3"/>
    <w:rsid w:val="002E1B87"/>
    <w:rsid w:val="0032333E"/>
    <w:rsid w:val="00393FD1"/>
    <w:rsid w:val="003B4FBC"/>
    <w:rsid w:val="003B6556"/>
    <w:rsid w:val="003B766B"/>
    <w:rsid w:val="003E3788"/>
    <w:rsid w:val="00417267"/>
    <w:rsid w:val="00433073"/>
    <w:rsid w:val="004346A7"/>
    <w:rsid w:val="0047148E"/>
    <w:rsid w:val="004736E1"/>
    <w:rsid w:val="00475F51"/>
    <w:rsid w:val="00477E28"/>
    <w:rsid w:val="00481AE8"/>
    <w:rsid w:val="0049049E"/>
    <w:rsid w:val="00493C69"/>
    <w:rsid w:val="004A57A1"/>
    <w:rsid w:val="004A5872"/>
    <w:rsid w:val="004A7E20"/>
    <w:rsid w:val="004B6679"/>
    <w:rsid w:val="004D57CB"/>
    <w:rsid w:val="005010F7"/>
    <w:rsid w:val="00530A0E"/>
    <w:rsid w:val="00552993"/>
    <w:rsid w:val="00555286"/>
    <w:rsid w:val="005D2900"/>
    <w:rsid w:val="005F442E"/>
    <w:rsid w:val="0062072B"/>
    <w:rsid w:val="00620AA9"/>
    <w:rsid w:val="00654C31"/>
    <w:rsid w:val="006B1952"/>
    <w:rsid w:val="006C04A3"/>
    <w:rsid w:val="006C37F0"/>
    <w:rsid w:val="006F5FC5"/>
    <w:rsid w:val="007100A0"/>
    <w:rsid w:val="0071285F"/>
    <w:rsid w:val="00726D90"/>
    <w:rsid w:val="00781599"/>
    <w:rsid w:val="007977F0"/>
    <w:rsid w:val="007B32B8"/>
    <w:rsid w:val="007C3740"/>
    <w:rsid w:val="007E167C"/>
    <w:rsid w:val="007F0E50"/>
    <w:rsid w:val="00807E8F"/>
    <w:rsid w:val="00816682"/>
    <w:rsid w:val="008377FC"/>
    <w:rsid w:val="00862083"/>
    <w:rsid w:val="00871392"/>
    <w:rsid w:val="00873774"/>
    <w:rsid w:val="00887C5A"/>
    <w:rsid w:val="008B74FC"/>
    <w:rsid w:val="008C0FDF"/>
    <w:rsid w:val="008E08C9"/>
    <w:rsid w:val="00920A15"/>
    <w:rsid w:val="00927C2B"/>
    <w:rsid w:val="00937401"/>
    <w:rsid w:val="00995E34"/>
    <w:rsid w:val="009A59E1"/>
    <w:rsid w:val="009B08A4"/>
    <w:rsid w:val="009C5410"/>
    <w:rsid w:val="009F64C5"/>
    <w:rsid w:val="00A03D02"/>
    <w:rsid w:val="00A04503"/>
    <w:rsid w:val="00AA2387"/>
    <w:rsid w:val="00AE7A45"/>
    <w:rsid w:val="00B22406"/>
    <w:rsid w:val="00B24FF0"/>
    <w:rsid w:val="00B2529E"/>
    <w:rsid w:val="00B84D85"/>
    <w:rsid w:val="00B939D2"/>
    <w:rsid w:val="00B9448D"/>
    <w:rsid w:val="00BB13AE"/>
    <w:rsid w:val="00BD64C3"/>
    <w:rsid w:val="00C22BA3"/>
    <w:rsid w:val="00C25038"/>
    <w:rsid w:val="00C82B8E"/>
    <w:rsid w:val="00CC4A5B"/>
    <w:rsid w:val="00CD18F5"/>
    <w:rsid w:val="00CD4A4B"/>
    <w:rsid w:val="00CE30E5"/>
    <w:rsid w:val="00D256B7"/>
    <w:rsid w:val="00D35713"/>
    <w:rsid w:val="00D667CD"/>
    <w:rsid w:val="00D91A4B"/>
    <w:rsid w:val="00DC2D40"/>
    <w:rsid w:val="00DC74D2"/>
    <w:rsid w:val="00DE1172"/>
    <w:rsid w:val="00E521F9"/>
    <w:rsid w:val="00E70EDE"/>
    <w:rsid w:val="00E86942"/>
    <w:rsid w:val="00EA1089"/>
    <w:rsid w:val="00EB73AD"/>
    <w:rsid w:val="00EC0DDE"/>
    <w:rsid w:val="00EF61EF"/>
    <w:rsid w:val="00F02443"/>
    <w:rsid w:val="00F16B95"/>
    <w:rsid w:val="00F31313"/>
    <w:rsid w:val="00F378C0"/>
    <w:rsid w:val="00F556F6"/>
    <w:rsid w:val="00F838AD"/>
    <w:rsid w:val="00F87804"/>
    <w:rsid w:val="00FE0EC3"/>
    <w:rsid w:val="00FE57E9"/>
    <w:rsid w:val="00FF340E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0DEE"/>
  <w15:docId w15:val="{96701ECA-C592-4221-BC11-2294AEB2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0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EA1089"/>
    <w:rPr>
      <w:color w:val="0000FF"/>
      <w:u w:val="single"/>
    </w:rPr>
  </w:style>
  <w:style w:type="paragraph" w:styleId="a5">
    <w:name w:val="No Spacing"/>
    <w:uiPriority w:val="1"/>
    <w:qFormat/>
    <w:rsid w:val="006C37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5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29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7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3@rs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27428</TotalTime>
  <Pages>7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Зайченко Павел Владимирович</dc:creator>
  <cp:lastModifiedBy>Румянцева Елена Дмитриева</cp:lastModifiedBy>
  <cp:revision>10</cp:revision>
  <cp:lastPrinted>2024-08-02T07:43:00Z</cp:lastPrinted>
  <dcterms:created xsi:type="dcterms:W3CDTF">2021-02-01T10:44:00Z</dcterms:created>
  <dcterms:modified xsi:type="dcterms:W3CDTF">2024-08-13T13:50:00Z</dcterms:modified>
</cp:coreProperties>
</file>