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66"/>
        <w:gridCol w:w="4766"/>
      </w:tblGrid>
      <w:tr w:rsidR="00D75994" w:rsidRPr="003B0BF0" w:rsidTr="00D75994">
        <w:trPr>
          <w:trHeight w:hRule="exact" w:val="284"/>
        </w:trPr>
        <w:tc>
          <w:tcPr>
            <w:tcW w:w="2500" w:type="pct"/>
            <w:tcMar>
              <w:left w:w="0" w:type="dxa"/>
              <w:right w:w="0" w:type="dxa"/>
            </w:tcMar>
          </w:tcPr>
          <w:p w:rsidR="00D75994" w:rsidRPr="003B0BF0" w:rsidRDefault="00D75994" w:rsidP="007C00D4">
            <w:pPr>
              <w:pStyle w:val="af3"/>
              <w:rPr>
                <w:rFonts w:ascii="Times New Roman" w:hAnsi="Times New Roman"/>
                <w:b w:val="0"/>
                <w:szCs w:val="20"/>
              </w:rPr>
            </w:pPr>
            <w:r w:rsidRPr="003B0BF0">
              <w:rPr>
                <w:rFonts w:ascii="Times New Roman" w:hAnsi="Times New Roman"/>
                <w:b w:val="0"/>
                <w:szCs w:val="20"/>
              </w:rPr>
              <w:t xml:space="preserve">ООО «Капитал </w:t>
            </w:r>
            <w:proofErr w:type="spellStart"/>
            <w:r w:rsidRPr="003B0BF0">
              <w:rPr>
                <w:rFonts w:ascii="Times New Roman" w:hAnsi="Times New Roman"/>
                <w:b w:val="0"/>
                <w:szCs w:val="20"/>
              </w:rPr>
              <w:t>Лайф</w:t>
            </w:r>
            <w:proofErr w:type="spellEnd"/>
            <w:r w:rsidRPr="003B0BF0">
              <w:rPr>
                <w:rFonts w:ascii="Times New Roman" w:hAnsi="Times New Roman"/>
                <w:b w:val="0"/>
                <w:szCs w:val="20"/>
              </w:rPr>
              <w:t xml:space="preserve"> Страхование Жизни»</w:t>
            </w:r>
          </w:p>
        </w:tc>
        <w:tc>
          <w:tcPr>
            <w:tcW w:w="2500" w:type="pct"/>
          </w:tcPr>
          <w:p w:rsidR="00D75994" w:rsidRPr="003B0BF0" w:rsidRDefault="00411F64" w:rsidP="00411F64">
            <w:pPr>
              <w:pStyle w:val="af3"/>
              <w:jc w:val="right"/>
              <w:rPr>
                <w:rFonts w:ascii="Times New Roman" w:hAnsi="Times New Roman"/>
                <w:szCs w:val="20"/>
              </w:rPr>
            </w:pPr>
            <w:r w:rsidRPr="003B0BF0">
              <w:rPr>
                <w:rFonts w:ascii="Times New Roman" w:hAnsi="Times New Roman"/>
                <w:szCs w:val="20"/>
              </w:rPr>
              <w:t>Участникам тендерного отбора</w:t>
            </w: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 xml:space="preserve">115035, г. Москва, </w:t>
            </w:r>
            <w:proofErr w:type="spellStart"/>
            <w:r w:rsidRPr="003B0BF0">
              <w:rPr>
                <w:rFonts w:ascii="Times New Roman" w:hAnsi="Times New Roman"/>
                <w:b w:val="0"/>
                <w:szCs w:val="20"/>
              </w:rPr>
              <w:t>Кадашёвская</w:t>
            </w:r>
            <w:proofErr w:type="spellEnd"/>
            <w:r w:rsidRPr="003B0BF0">
              <w:rPr>
                <w:rFonts w:ascii="Times New Roman" w:hAnsi="Times New Roman"/>
                <w:b w:val="0"/>
                <w:szCs w:val="20"/>
              </w:rPr>
              <w:t xml:space="preserve"> набережная, д.30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Факс: +7 (495) 225-94-38</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lang w:val="en-US"/>
              </w:rPr>
              <w:t>E</w:t>
            </w:r>
            <w:r w:rsidRPr="003B0BF0">
              <w:rPr>
                <w:rFonts w:ascii="Times New Roman" w:hAnsi="Times New Roman"/>
                <w:b w:val="0"/>
                <w:szCs w:val="20"/>
              </w:rPr>
              <w:t>-</w:t>
            </w:r>
            <w:r w:rsidRPr="003B0BF0">
              <w:rPr>
                <w:rFonts w:ascii="Times New Roman" w:hAnsi="Times New Roman"/>
                <w:b w:val="0"/>
                <w:szCs w:val="20"/>
                <w:lang w:val="en-US"/>
              </w:rPr>
              <w:t>mail</w:t>
            </w:r>
            <w:r w:rsidRPr="003B0BF0">
              <w:rPr>
                <w:rFonts w:ascii="Times New Roman" w:hAnsi="Times New Roman"/>
                <w:b w:val="0"/>
                <w:szCs w:val="20"/>
              </w:rPr>
              <w:t xml:space="preserve">: </w:t>
            </w:r>
            <w:proofErr w:type="spellStart"/>
            <w:r w:rsidRPr="003B0BF0">
              <w:rPr>
                <w:rFonts w:ascii="Times New Roman" w:hAnsi="Times New Roman"/>
                <w:b w:val="0"/>
                <w:szCs w:val="20"/>
                <w:lang w:val="en-US"/>
              </w:rPr>
              <w:t>infolife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rgslife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ru</w:t>
            </w:r>
            <w:proofErr w:type="spellEnd"/>
            <w:r w:rsidRPr="003B0BF0">
              <w:rPr>
                <w:rFonts w:ascii="Times New Roman" w:hAnsi="Times New Roman"/>
                <w:b w:val="0"/>
                <w:szCs w:val="20"/>
              </w:rPr>
              <w:tab/>
            </w:r>
            <w:r w:rsidRPr="003B0BF0">
              <w:rPr>
                <w:rFonts w:ascii="Times New Roman" w:hAnsi="Times New Roman"/>
                <w:b w:val="0"/>
                <w:szCs w:val="20"/>
              </w:rPr>
              <w:tab/>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 Факс: +7 (495) 225-94-38</w:t>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FF2737" w:rsidP="007C00D4">
            <w:pPr>
              <w:pStyle w:val="af3"/>
              <w:rPr>
                <w:rFonts w:ascii="Times New Roman" w:hAnsi="Times New Roman"/>
                <w:b w:val="0"/>
                <w:szCs w:val="20"/>
                <w:lang w:val="en-US"/>
              </w:rPr>
            </w:pPr>
            <w:r>
              <w:rPr>
                <w:rFonts w:ascii="Times New Roman" w:hAnsi="Times New Roman"/>
                <w:b w:val="0"/>
                <w:szCs w:val="20"/>
                <w:lang w:val="en-US"/>
              </w:rPr>
              <w:t>tender</w:t>
            </w:r>
            <w:r w:rsidR="00D470FF" w:rsidRPr="003B0BF0">
              <w:rPr>
                <w:rFonts w:ascii="Times New Roman" w:hAnsi="Times New Roman"/>
                <w:b w:val="0"/>
                <w:szCs w:val="20"/>
                <w:lang w:val="en-US"/>
              </w:rPr>
              <w:t>@kaplife.ru</w:t>
            </w:r>
          </w:p>
          <w:p w:rsidR="00D470FF" w:rsidRPr="003B0BF0" w:rsidRDefault="00D470FF" w:rsidP="007C00D4">
            <w:pPr>
              <w:rPr>
                <w:rFonts w:ascii="Times New Roman" w:hAnsi="Times New Roman"/>
                <w:szCs w:val="20"/>
                <w:lang w:val="en-US"/>
              </w:rPr>
            </w:pPr>
          </w:p>
        </w:tc>
        <w:tc>
          <w:tcPr>
            <w:tcW w:w="2500" w:type="pct"/>
          </w:tcPr>
          <w:p w:rsidR="00D470FF" w:rsidRPr="003B0BF0" w:rsidRDefault="00D470FF" w:rsidP="00D470FF">
            <w:pPr>
              <w:jc w:val="right"/>
              <w:rPr>
                <w:rFonts w:ascii="Times New Roman" w:hAnsi="Times New Roman"/>
                <w:szCs w:val="20"/>
                <w:lang w:val="en-US"/>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lang w:val="en-US"/>
              </w:rPr>
            </w:pPr>
            <w:r w:rsidRPr="003B0BF0">
              <w:rPr>
                <w:rFonts w:ascii="Times New Roman" w:hAnsi="Times New Roman"/>
                <w:b w:val="0"/>
                <w:szCs w:val="20"/>
                <w:lang w:val="en-US"/>
              </w:rPr>
              <w:t>KAPLIFE.RU</w:t>
            </w:r>
          </w:p>
        </w:tc>
        <w:tc>
          <w:tcPr>
            <w:tcW w:w="2500" w:type="pct"/>
          </w:tcPr>
          <w:p w:rsidR="00D470FF" w:rsidRPr="003B0BF0" w:rsidRDefault="00D470FF" w:rsidP="007C00D4">
            <w:pPr>
              <w:pStyle w:val="af3"/>
              <w:rPr>
                <w:rFonts w:ascii="Times New Roman" w:hAnsi="Times New Roman"/>
                <w:b w:val="0"/>
                <w:szCs w:val="2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21"/>
        <w:gridCol w:w="4817"/>
      </w:tblGrid>
      <w:tr w:rsidR="001333D8" w:rsidRPr="003B0BF0" w:rsidTr="00417502">
        <w:trPr>
          <w:trHeight w:hRule="exact" w:val="284"/>
        </w:trPr>
        <w:tc>
          <w:tcPr>
            <w:tcW w:w="2501" w:type="pct"/>
            <w:tcMar>
              <w:left w:w="0" w:type="dxa"/>
              <w:right w:w="0" w:type="dxa"/>
            </w:tcMar>
          </w:tcPr>
          <w:p w:rsidR="001333D8" w:rsidRPr="003B0BF0" w:rsidRDefault="001333D8" w:rsidP="001333D8">
            <w:pPr>
              <w:pStyle w:val="af3"/>
              <w:rPr>
                <w:rFonts w:ascii="Times New Roman" w:hAnsi="Times New Roman"/>
                <w:szCs w:val="20"/>
              </w:rPr>
            </w:pPr>
          </w:p>
        </w:tc>
        <w:tc>
          <w:tcPr>
            <w:tcW w:w="2499" w:type="pct"/>
            <w:tcMar>
              <w:left w:w="0" w:type="dxa"/>
              <w:right w:w="0" w:type="dxa"/>
            </w:tcMar>
          </w:tcPr>
          <w:p w:rsidR="001333D8" w:rsidRPr="003B0BF0" w:rsidRDefault="001333D8" w:rsidP="009008BD">
            <w:pPr>
              <w:jc w:val="right"/>
              <w:rPr>
                <w:rFonts w:ascii="Times New Roman" w:hAnsi="Times New Roman"/>
                <w:szCs w:val="20"/>
              </w:rPr>
            </w:pPr>
          </w:p>
        </w:tc>
      </w:tr>
      <w:tr w:rsidR="001333D8" w:rsidRPr="003B0BF0" w:rsidTr="00417502">
        <w:trPr>
          <w:trHeight w:hRule="exact" w:val="284"/>
        </w:trPr>
        <w:tc>
          <w:tcPr>
            <w:tcW w:w="2501" w:type="pct"/>
            <w:tcMar>
              <w:left w:w="0" w:type="dxa"/>
              <w:right w:w="0" w:type="dxa"/>
            </w:tcMar>
          </w:tcPr>
          <w:p w:rsidR="001333D8" w:rsidRPr="003B0BF0" w:rsidRDefault="003B0BF0" w:rsidP="00E51D0A">
            <w:pPr>
              <w:rPr>
                <w:rFonts w:ascii="Times New Roman" w:hAnsi="Times New Roman"/>
                <w:szCs w:val="20"/>
              </w:rPr>
            </w:pPr>
            <w:r w:rsidRPr="003B0BF0">
              <w:rPr>
                <w:rFonts w:ascii="Times New Roman" w:hAnsi="Times New Roman"/>
                <w:szCs w:val="20"/>
              </w:rPr>
              <w:t xml:space="preserve">От </w:t>
            </w:r>
            <w:r w:rsidR="00B94A79">
              <w:rPr>
                <w:rFonts w:ascii="Times New Roman" w:hAnsi="Times New Roman"/>
                <w:szCs w:val="20"/>
              </w:rPr>
              <w:t>21.11</w:t>
            </w:r>
            <w:r w:rsidR="006E09EF">
              <w:rPr>
                <w:rFonts w:ascii="Times New Roman" w:hAnsi="Times New Roman"/>
                <w:szCs w:val="20"/>
              </w:rPr>
              <w:t>.2023</w:t>
            </w:r>
            <w:r w:rsidR="0076468E">
              <w:rPr>
                <w:rFonts w:ascii="Times New Roman" w:hAnsi="Times New Roman"/>
                <w:szCs w:val="20"/>
              </w:rPr>
              <w:t xml:space="preserve"> № </w:t>
            </w:r>
            <w:r w:rsidR="00B94A79">
              <w:rPr>
                <w:rFonts w:ascii="Times New Roman" w:hAnsi="Times New Roman"/>
                <w:szCs w:val="20"/>
              </w:rPr>
              <w:t>95</w:t>
            </w:r>
            <w:r w:rsidR="00FF2737">
              <w:rPr>
                <w:rFonts w:ascii="Times New Roman" w:hAnsi="Times New Roman"/>
                <w:szCs w:val="20"/>
              </w:rPr>
              <w:t>ТК</w:t>
            </w:r>
            <w:r w:rsidR="006D62BB">
              <w:rPr>
                <w:rFonts w:ascii="Times New Roman" w:hAnsi="Times New Roman"/>
                <w:szCs w:val="20"/>
              </w:rPr>
              <w:t>\202</w:t>
            </w:r>
            <w:r w:rsidR="00FF2737">
              <w:rPr>
                <w:rFonts w:ascii="Times New Roman" w:hAnsi="Times New Roman"/>
                <w:szCs w:val="20"/>
              </w:rPr>
              <w:t>3</w:t>
            </w:r>
            <w:r w:rsidR="006D62BB">
              <w:rPr>
                <w:rFonts w:ascii="Times New Roman" w:hAnsi="Times New Roman"/>
                <w:szCs w:val="20"/>
              </w:rPr>
              <w:t>\1</w:t>
            </w:r>
          </w:p>
        </w:tc>
        <w:tc>
          <w:tcPr>
            <w:tcW w:w="2499" w:type="pct"/>
            <w:tcMar>
              <w:left w:w="0" w:type="dxa"/>
              <w:right w:w="0" w:type="dxa"/>
            </w:tcMar>
          </w:tcPr>
          <w:p w:rsidR="001333D8" w:rsidRPr="003B0BF0" w:rsidRDefault="001333D8" w:rsidP="00D470FF">
            <w:pPr>
              <w:jc w:val="right"/>
              <w:rPr>
                <w:rFonts w:ascii="Times New Roman" w:hAnsi="Times New Roman"/>
                <w:szCs w:val="20"/>
              </w:rPr>
            </w:pPr>
          </w:p>
        </w:tc>
      </w:tr>
      <w:tr w:rsidR="009008BD" w:rsidRPr="003B0BF0" w:rsidTr="00417502">
        <w:trPr>
          <w:trHeight w:hRule="exact" w:val="284"/>
        </w:trPr>
        <w:tc>
          <w:tcPr>
            <w:tcW w:w="2501" w:type="pct"/>
            <w:tcMar>
              <w:left w:w="0" w:type="dxa"/>
              <w:right w:w="0" w:type="dxa"/>
            </w:tcMar>
          </w:tcPr>
          <w:p w:rsidR="009008BD" w:rsidRPr="006D62BB" w:rsidRDefault="009008BD" w:rsidP="00D470FF">
            <w:pPr>
              <w:rPr>
                <w:rFonts w:ascii="Times New Roman" w:hAnsi="Times New Roman"/>
                <w:sz w:val="24"/>
                <w:szCs w:val="24"/>
              </w:rPr>
            </w:pPr>
          </w:p>
        </w:tc>
        <w:tc>
          <w:tcPr>
            <w:tcW w:w="2499" w:type="pct"/>
            <w:tcMar>
              <w:left w:w="0" w:type="dxa"/>
              <w:right w:w="0" w:type="dxa"/>
            </w:tcMar>
          </w:tcPr>
          <w:p w:rsidR="009008BD" w:rsidRPr="003B0BF0" w:rsidRDefault="009008BD" w:rsidP="001333D8">
            <w:pPr>
              <w:jc w:val="right"/>
              <w:rPr>
                <w:rFonts w:ascii="Times New Roman" w:hAnsi="Times New Roman"/>
                <w:sz w:val="24"/>
                <w:szCs w:val="24"/>
              </w:rPr>
            </w:pPr>
          </w:p>
        </w:tc>
      </w:tr>
      <w:tr w:rsidR="00D75994" w:rsidRPr="003B0BF0" w:rsidTr="00417502">
        <w:trPr>
          <w:trHeight w:hRule="exact" w:val="284"/>
        </w:trPr>
        <w:tc>
          <w:tcPr>
            <w:tcW w:w="2501" w:type="pct"/>
            <w:tcMar>
              <w:left w:w="0" w:type="dxa"/>
              <w:right w:w="0" w:type="dxa"/>
            </w:tcMar>
          </w:tcPr>
          <w:p w:rsidR="00D75994" w:rsidRPr="003B0BF0" w:rsidRDefault="00D75994">
            <w:pPr>
              <w:pStyle w:val="a8"/>
              <w:rPr>
                <w:rFonts w:ascii="Times New Roman" w:hAnsi="Times New Roman"/>
                <w:b/>
                <w:sz w:val="24"/>
                <w:szCs w:val="24"/>
              </w:rPr>
            </w:pPr>
          </w:p>
        </w:tc>
        <w:tc>
          <w:tcPr>
            <w:tcW w:w="2499" w:type="pct"/>
            <w:tcMar>
              <w:left w:w="0" w:type="dxa"/>
              <w:right w:w="0" w:type="dxa"/>
            </w:tcMar>
          </w:tcPr>
          <w:p w:rsidR="00D75994" w:rsidRPr="003B0BF0" w:rsidRDefault="00D75994" w:rsidP="001333D8">
            <w:pPr>
              <w:jc w:val="right"/>
              <w:rPr>
                <w:rFonts w:ascii="Times New Roman" w:hAnsi="Times New Roman"/>
                <w:sz w:val="24"/>
                <w:szCs w:val="24"/>
              </w:rPr>
            </w:pPr>
          </w:p>
        </w:tc>
      </w:tr>
    </w:tbl>
    <w:p w:rsidR="00D470FF" w:rsidRPr="003B0BF0" w:rsidRDefault="00D470FF" w:rsidP="00417502">
      <w:pPr>
        <w:rPr>
          <w:rFonts w:ascii="Times New Roman" w:hAnsi="Times New Roman"/>
          <w:sz w:val="24"/>
          <w:szCs w:val="24"/>
        </w:rPr>
      </w:pPr>
    </w:p>
    <w:p w:rsidR="00EC31D0" w:rsidRPr="003B0BF0" w:rsidRDefault="00EC31D0" w:rsidP="00EC31D0">
      <w:pPr>
        <w:ind w:firstLine="284"/>
        <w:rPr>
          <w:rFonts w:ascii="Times New Roman" w:hAnsi="Times New Roman"/>
          <w:sz w:val="24"/>
          <w:szCs w:val="24"/>
          <w:lang w:eastAsia="ru-RU"/>
        </w:rPr>
      </w:pPr>
    </w:p>
    <w:p w:rsidR="00BF3744" w:rsidRPr="004F6FB6" w:rsidRDefault="00BF3744" w:rsidP="004F6FB6">
      <w:pPr>
        <w:jc w:val="center"/>
        <w:rPr>
          <w:rFonts w:ascii="Times New Roman" w:hAnsi="Times New Roman"/>
          <w:b/>
          <w:sz w:val="24"/>
          <w:szCs w:val="24"/>
        </w:rPr>
      </w:pPr>
      <w:r w:rsidRPr="003B0BF0">
        <w:rPr>
          <w:rFonts w:ascii="Times New Roman" w:hAnsi="Times New Roman"/>
          <w:b/>
          <w:sz w:val="24"/>
          <w:szCs w:val="24"/>
        </w:rPr>
        <w:t xml:space="preserve">ИЗВЕЩЕНИЕ О ПРОВЕДЕНИИ ТЕНДЕРА (№ </w:t>
      </w:r>
      <w:r w:rsidR="00B94A79">
        <w:rPr>
          <w:rFonts w:ascii="Times New Roman" w:hAnsi="Times New Roman"/>
          <w:b/>
          <w:sz w:val="24"/>
          <w:szCs w:val="24"/>
        </w:rPr>
        <w:t>95</w:t>
      </w:r>
      <w:r w:rsidR="006D62BB">
        <w:rPr>
          <w:rFonts w:ascii="Times New Roman" w:hAnsi="Times New Roman"/>
          <w:b/>
          <w:sz w:val="24"/>
          <w:szCs w:val="24"/>
        </w:rPr>
        <w:t>\202</w:t>
      </w:r>
      <w:r w:rsidR="00FF2737">
        <w:rPr>
          <w:rFonts w:ascii="Times New Roman" w:hAnsi="Times New Roman"/>
          <w:b/>
          <w:sz w:val="24"/>
          <w:szCs w:val="24"/>
        </w:rPr>
        <w:t>3</w:t>
      </w:r>
      <w:r w:rsidR="006D62BB">
        <w:rPr>
          <w:rFonts w:ascii="Times New Roman" w:hAnsi="Times New Roman"/>
          <w:b/>
          <w:sz w:val="24"/>
          <w:szCs w:val="24"/>
        </w:rPr>
        <w:t>\1</w:t>
      </w:r>
      <w:r w:rsidRPr="003B0BF0">
        <w:rPr>
          <w:rFonts w:ascii="Times New Roman" w:hAnsi="Times New Roman"/>
          <w:b/>
          <w:sz w:val="24"/>
          <w:szCs w:val="24"/>
        </w:rPr>
        <w:t>)</w:t>
      </w:r>
    </w:p>
    <w:p w:rsidR="00B94A79"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 xml:space="preserve">ООО "Капитал </w:t>
      </w:r>
      <w:proofErr w:type="spellStart"/>
      <w:r w:rsidRPr="003B0BF0">
        <w:rPr>
          <w:rFonts w:ascii="Times New Roman" w:hAnsi="Times New Roman"/>
          <w:sz w:val="24"/>
          <w:szCs w:val="24"/>
        </w:rPr>
        <w:t>Лайф</w:t>
      </w:r>
      <w:proofErr w:type="spellEnd"/>
      <w:r w:rsidRPr="003B0BF0">
        <w:rPr>
          <w:rFonts w:ascii="Times New Roman" w:hAnsi="Times New Roman"/>
          <w:sz w:val="24"/>
          <w:szCs w:val="24"/>
        </w:rPr>
        <w:t xml:space="preserve"> Страхование Жизни" сообщает о начале проведения тендера по </w:t>
      </w:r>
      <w:r w:rsidR="0069505E" w:rsidRPr="003B0BF0">
        <w:rPr>
          <w:rFonts w:ascii="Times New Roman" w:hAnsi="Times New Roman"/>
          <w:sz w:val="24"/>
          <w:szCs w:val="24"/>
        </w:rPr>
        <w:t xml:space="preserve">выбору поставщика </w:t>
      </w:r>
      <w:r w:rsidR="00CD0D2E" w:rsidRPr="003B0BF0">
        <w:rPr>
          <w:rFonts w:ascii="Times New Roman" w:hAnsi="Times New Roman"/>
          <w:sz w:val="24"/>
          <w:szCs w:val="24"/>
        </w:rPr>
        <w:t>услуг по</w:t>
      </w:r>
      <w:r w:rsidR="00FD1994" w:rsidRPr="003B0BF0">
        <w:rPr>
          <w:rFonts w:ascii="Times New Roman" w:hAnsi="Times New Roman"/>
          <w:sz w:val="24"/>
          <w:szCs w:val="24"/>
        </w:rPr>
        <w:t xml:space="preserve"> закупке </w:t>
      </w:r>
      <w:r w:rsidR="00B94A79" w:rsidRPr="00B94A79">
        <w:rPr>
          <w:rFonts w:ascii="Times New Roman" w:hAnsi="Times New Roman"/>
          <w:sz w:val="24"/>
          <w:szCs w:val="24"/>
        </w:rPr>
        <w:t xml:space="preserve">Комплексное сопровождение корпоративного сайта, включая интеграции, поддержку и разработку функционала CMS 1С-Битрикс24 Корпоративный портал </w:t>
      </w:r>
    </w:p>
    <w:p w:rsidR="00BF3744" w:rsidRPr="003B0BF0"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Общие условия участия в тендере</w:t>
      </w:r>
      <w:r w:rsidR="00411F64" w:rsidRPr="003B0BF0">
        <w:rPr>
          <w:rFonts w:ascii="Times New Roman" w:hAnsi="Times New Roman"/>
          <w:sz w:val="24"/>
          <w:szCs w:val="24"/>
        </w:rPr>
        <w:t>:</w:t>
      </w:r>
    </w:p>
    <w:p w:rsidR="00B94F1F" w:rsidRPr="00B94F1F" w:rsidRDefault="00BF3744" w:rsidP="00B94F1F">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Предметом конкурса является наилучшее предложение </w:t>
      </w:r>
      <w:r w:rsidR="00D1120F">
        <w:rPr>
          <w:rFonts w:ascii="Times New Roman" w:hAnsi="Times New Roman"/>
          <w:sz w:val="24"/>
          <w:szCs w:val="24"/>
        </w:rPr>
        <w:t>согласно техническому заданию.</w:t>
      </w:r>
      <w:r w:rsidR="00B94F1F">
        <w:rPr>
          <w:rFonts w:ascii="Times New Roman" w:hAnsi="Times New Roman"/>
          <w:sz w:val="24"/>
          <w:szCs w:val="24"/>
        </w:rPr>
        <w:t xml:space="preserve"> </w:t>
      </w:r>
    </w:p>
    <w:p w:rsidR="00BF3744" w:rsidRPr="003B0BF0" w:rsidRDefault="00D1120F" w:rsidP="00D1120F">
      <w:pPr>
        <w:pStyle w:val="af1"/>
        <w:overflowPunct w:val="0"/>
        <w:autoSpaceDE w:val="0"/>
        <w:autoSpaceDN w:val="0"/>
        <w:adjustRightInd w:val="0"/>
        <w:spacing w:before="120" w:after="120"/>
        <w:contextualSpacing w:val="0"/>
        <w:jc w:val="both"/>
        <w:rPr>
          <w:rFonts w:ascii="Times New Roman" w:hAnsi="Times New Roman"/>
          <w:sz w:val="24"/>
          <w:szCs w:val="24"/>
        </w:rPr>
      </w:pPr>
      <w:r>
        <w:rPr>
          <w:rFonts w:ascii="Times New Roman" w:hAnsi="Times New Roman"/>
          <w:sz w:val="24"/>
          <w:szCs w:val="24"/>
        </w:rPr>
        <w:t>-</w:t>
      </w:r>
      <w:r w:rsidR="00BF3744" w:rsidRPr="003B0BF0">
        <w:rPr>
          <w:rFonts w:ascii="Times New Roman" w:hAnsi="Times New Roman"/>
          <w:sz w:val="24"/>
          <w:szCs w:val="24"/>
        </w:rPr>
        <w:t>Участники тендера должны удовлетворять следующим требованиям:</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опыт работы в соответствующей области,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отсутствие невыполненных обязательств перед третьими лицами,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w:t>
      </w:r>
      <w:r w:rsidR="00BF3744" w:rsidRPr="003B0BF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деятельность не должна быть приостановлена,</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B0BF0" w:rsidRPr="003B0BF0" w:rsidRDefault="00BF3744"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3B0BF0" w:rsidRDefault="003B0BF0"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Коммерческие предложения, содержащие ссылку на номер тендера, с комплектом документов будут приниматься от уполномоченных лиц </w:t>
      </w:r>
      <w:r w:rsidR="00CA5444">
        <w:rPr>
          <w:rFonts w:ascii="Times New Roman" w:hAnsi="Times New Roman"/>
          <w:sz w:val="24"/>
          <w:szCs w:val="24"/>
        </w:rPr>
        <w:t>через ЭТП «</w:t>
      </w:r>
      <w:proofErr w:type="spellStart"/>
      <w:r w:rsidR="00CA5444">
        <w:rPr>
          <w:rFonts w:ascii="Times New Roman" w:hAnsi="Times New Roman"/>
          <w:sz w:val="24"/>
          <w:szCs w:val="24"/>
        </w:rPr>
        <w:t>Росэлторг</w:t>
      </w:r>
      <w:proofErr w:type="spellEnd"/>
      <w:r w:rsidR="00CA5444">
        <w:rPr>
          <w:rFonts w:ascii="Times New Roman" w:hAnsi="Times New Roman"/>
          <w:sz w:val="24"/>
          <w:szCs w:val="24"/>
        </w:rPr>
        <w:t xml:space="preserve"> Бизнес» </w:t>
      </w:r>
      <w:r w:rsidRPr="003B0BF0">
        <w:rPr>
          <w:rFonts w:ascii="Times New Roman" w:hAnsi="Times New Roman"/>
          <w:sz w:val="24"/>
          <w:szCs w:val="24"/>
        </w:rPr>
        <w:t>СТРОГО В УСТАНОВЛ</w:t>
      </w:r>
      <w:r w:rsidR="0076468E">
        <w:rPr>
          <w:rFonts w:ascii="Times New Roman" w:hAnsi="Times New Roman"/>
          <w:sz w:val="24"/>
          <w:szCs w:val="24"/>
        </w:rPr>
        <w:t xml:space="preserve">ЕННОЕ ВРЕМЯ до </w:t>
      </w:r>
      <w:r w:rsidR="004E6813">
        <w:rPr>
          <w:rFonts w:ascii="Times New Roman" w:hAnsi="Times New Roman"/>
          <w:b/>
          <w:sz w:val="24"/>
          <w:szCs w:val="24"/>
          <w:u w:val="single"/>
        </w:rPr>
        <w:t>19</w:t>
      </w:r>
      <w:r w:rsidR="0076468E" w:rsidRPr="00FF2737">
        <w:rPr>
          <w:rFonts w:ascii="Times New Roman" w:hAnsi="Times New Roman"/>
          <w:b/>
          <w:sz w:val="24"/>
          <w:szCs w:val="24"/>
          <w:u w:val="single"/>
        </w:rPr>
        <w:t xml:space="preserve"> ч. 00 мин. «</w:t>
      </w:r>
      <w:r w:rsidR="00B94A79">
        <w:rPr>
          <w:rFonts w:ascii="Times New Roman" w:hAnsi="Times New Roman"/>
          <w:b/>
          <w:sz w:val="24"/>
          <w:szCs w:val="24"/>
          <w:u w:val="single"/>
        </w:rPr>
        <w:t>01</w:t>
      </w:r>
      <w:r w:rsidR="0076468E" w:rsidRPr="00FF2737">
        <w:rPr>
          <w:rFonts w:ascii="Times New Roman" w:hAnsi="Times New Roman"/>
          <w:b/>
          <w:sz w:val="24"/>
          <w:szCs w:val="24"/>
          <w:u w:val="single"/>
        </w:rPr>
        <w:t xml:space="preserve">» </w:t>
      </w:r>
      <w:r w:rsidR="00B94A79">
        <w:rPr>
          <w:rFonts w:ascii="Times New Roman" w:hAnsi="Times New Roman"/>
          <w:b/>
          <w:sz w:val="24"/>
          <w:szCs w:val="24"/>
          <w:u w:val="single"/>
        </w:rPr>
        <w:t>декабря</w:t>
      </w:r>
      <w:r w:rsidR="0076468E" w:rsidRPr="00FF2737">
        <w:rPr>
          <w:rFonts w:ascii="Times New Roman" w:hAnsi="Times New Roman"/>
          <w:b/>
          <w:sz w:val="24"/>
          <w:szCs w:val="24"/>
          <w:u w:val="single"/>
        </w:rPr>
        <w:t xml:space="preserve"> 202</w:t>
      </w:r>
      <w:r w:rsidR="00FF2737" w:rsidRPr="00FF2737">
        <w:rPr>
          <w:rFonts w:ascii="Times New Roman" w:hAnsi="Times New Roman"/>
          <w:b/>
          <w:sz w:val="24"/>
          <w:szCs w:val="24"/>
          <w:u w:val="single"/>
        </w:rPr>
        <w:t>3</w:t>
      </w:r>
      <w:r w:rsidRPr="00FF2737">
        <w:rPr>
          <w:rFonts w:ascii="Times New Roman" w:hAnsi="Times New Roman"/>
          <w:b/>
          <w:sz w:val="24"/>
          <w:szCs w:val="24"/>
          <w:u w:val="single"/>
        </w:rPr>
        <w:t xml:space="preserve"> года.</w:t>
      </w:r>
    </w:p>
    <w:p w:rsidR="00BF3744" w:rsidRPr="003B0BF0" w:rsidRDefault="00BF3744"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Критерии определения Победителя тендера:</w:t>
      </w: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12"/>
        <w:gridCol w:w="2431"/>
        <w:gridCol w:w="3219"/>
      </w:tblGrid>
      <w:tr w:rsidR="00726F7E" w:rsidRPr="003B0BF0" w:rsidTr="006D62BB">
        <w:trPr>
          <w:trHeight w:val="859"/>
        </w:trPr>
        <w:tc>
          <w:tcPr>
            <w:tcW w:w="1666" w:type="dxa"/>
            <w:vMerge w:val="restart"/>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b/>
                <w:bCs/>
                <w:sz w:val="24"/>
                <w:szCs w:val="24"/>
              </w:rPr>
            </w:pPr>
            <w:r w:rsidRPr="003B0BF0">
              <w:rPr>
                <w:rFonts w:ascii="Times New Roman" w:hAnsi="Times New Roman"/>
                <w:b/>
                <w:bCs/>
                <w:sz w:val="24"/>
                <w:szCs w:val="24"/>
              </w:rPr>
              <w:t>Критерии оценки предложений</w:t>
            </w:r>
          </w:p>
        </w:tc>
        <w:tc>
          <w:tcPr>
            <w:tcW w:w="2353"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наименование критерия</w:t>
            </w:r>
          </w:p>
        </w:tc>
        <w:tc>
          <w:tcPr>
            <w:tcW w:w="2510"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вес критерия, %</w:t>
            </w:r>
          </w:p>
        </w:tc>
        <w:tc>
          <w:tcPr>
            <w:tcW w:w="3325"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комментарии</w:t>
            </w:r>
          </w:p>
        </w:tc>
      </w:tr>
      <w:tr w:rsidR="00726F7E" w:rsidRPr="003B0BF0" w:rsidTr="006D62BB">
        <w:trPr>
          <w:trHeight w:val="856"/>
        </w:trPr>
        <w:tc>
          <w:tcPr>
            <w:tcW w:w="1666" w:type="dxa"/>
            <w:vMerge/>
            <w:hideMark/>
          </w:tcPr>
          <w:p w:rsidR="00726F7E" w:rsidRPr="003B0BF0" w:rsidRDefault="00726F7E"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53" w:type="dxa"/>
            <w:hideMark/>
          </w:tcPr>
          <w:p w:rsidR="00726F7E" w:rsidRPr="00151FD3" w:rsidRDefault="00151FD3" w:rsidP="003B0BF0">
            <w:pPr>
              <w:pStyle w:val="af1"/>
              <w:overflowPunct w:val="0"/>
              <w:autoSpaceDE w:val="0"/>
              <w:autoSpaceDN w:val="0"/>
              <w:adjustRightInd w:val="0"/>
              <w:spacing w:before="120" w:after="120"/>
              <w:rPr>
                <w:rFonts w:ascii="Times New Roman" w:hAnsi="Times New Roman"/>
                <w:sz w:val="24"/>
                <w:szCs w:val="24"/>
              </w:rPr>
            </w:pPr>
            <w:r>
              <w:rPr>
                <w:rFonts w:ascii="Times New Roman" w:hAnsi="Times New Roman"/>
                <w:sz w:val="24"/>
                <w:szCs w:val="24"/>
              </w:rPr>
              <w:t>К</w:t>
            </w:r>
            <w:r w:rsidRPr="00151FD3">
              <w:rPr>
                <w:rFonts w:ascii="Times New Roman" w:hAnsi="Times New Roman"/>
                <w:sz w:val="24"/>
                <w:szCs w:val="24"/>
              </w:rPr>
              <w:t>оличество часов</w:t>
            </w:r>
          </w:p>
        </w:tc>
        <w:tc>
          <w:tcPr>
            <w:tcW w:w="2510" w:type="dxa"/>
            <w:hideMark/>
          </w:tcPr>
          <w:p w:rsidR="00726F7E" w:rsidRPr="003B0BF0" w:rsidRDefault="00151FD3"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25</w:t>
            </w:r>
            <w:r w:rsidR="00726F7E" w:rsidRPr="003B0BF0">
              <w:rPr>
                <w:rFonts w:ascii="Times New Roman" w:hAnsi="Times New Roman"/>
                <w:sz w:val="24"/>
                <w:szCs w:val="24"/>
              </w:rPr>
              <w:t>%</w:t>
            </w:r>
          </w:p>
        </w:tc>
        <w:tc>
          <w:tcPr>
            <w:tcW w:w="3325"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p>
        </w:tc>
      </w:tr>
      <w:tr w:rsidR="00726F7E" w:rsidRPr="003B0BF0" w:rsidTr="006D62BB">
        <w:trPr>
          <w:trHeight w:val="996"/>
        </w:trPr>
        <w:tc>
          <w:tcPr>
            <w:tcW w:w="1666" w:type="dxa"/>
            <w:hideMark/>
          </w:tcPr>
          <w:p w:rsidR="00726F7E" w:rsidRPr="003B0BF0" w:rsidRDefault="00726F7E"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53" w:type="dxa"/>
            <w:hideMark/>
          </w:tcPr>
          <w:p w:rsidR="00726F7E" w:rsidRPr="00151FD3" w:rsidRDefault="00151FD3" w:rsidP="003B0BF0">
            <w:pPr>
              <w:pStyle w:val="af1"/>
              <w:overflowPunct w:val="0"/>
              <w:autoSpaceDE w:val="0"/>
              <w:autoSpaceDN w:val="0"/>
              <w:adjustRightInd w:val="0"/>
              <w:spacing w:before="120" w:after="120"/>
              <w:rPr>
                <w:rFonts w:ascii="Times New Roman" w:hAnsi="Times New Roman"/>
                <w:sz w:val="24"/>
                <w:szCs w:val="24"/>
              </w:rPr>
            </w:pPr>
            <w:r>
              <w:rPr>
                <w:rFonts w:ascii="Times New Roman" w:hAnsi="Times New Roman"/>
                <w:sz w:val="24"/>
                <w:szCs w:val="24"/>
              </w:rPr>
              <w:t>С</w:t>
            </w:r>
            <w:r w:rsidRPr="00151FD3">
              <w:rPr>
                <w:rFonts w:ascii="Times New Roman" w:hAnsi="Times New Roman"/>
                <w:sz w:val="24"/>
                <w:szCs w:val="24"/>
              </w:rPr>
              <w:t xml:space="preserve">тоимость базового пакета услуг в месяц </w:t>
            </w:r>
          </w:p>
        </w:tc>
        <w:tc>
          <w:tcPr>
            <w:tcW w:w="2510" w:type="dxa"/>
            <w:hideMark/>
          </w:tcPr>
          <w:p w:rsidR="00726F7E" w:rsidRPr="003B0BF0" w:rsidRDefault="00151FD3"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25</w:t>
            </w:r>
            <w:r w:rsidR="00726F7E" w:rsidRPr="003B0BF0">
              <w:rPr>
                <w:rFonts w:ascii="Times New Roman" w:hAnsi="Times New Roman"/>
                <w:sz w:val="24"/>
                <w:szCs w:val="24"/>
              </w:rPr>
              <w:t>%</w:t>
            </w:r>
          </w:p>
        </w:tc>
        <w:tc>
          <w:tcPr>
            <w:tcW w:w="3325" w:type="dxa"/>
          </w:tcPr>
          <w:p w:rsidR="00355BA7" w:rsidRPr="00B94F1F" w:rsidRDefault="00355BA7" w:rsidP="00B94F1F">
            <w:pPr>
              <w:tabs>
                <w:tab w:val="left" w:pos="1035"/>
              </w:tabs>
              <w:jc w:val="center"/>
              <w:rPr>
                <w:rFonts w:ascii="Times New Roman" w:hAnsi="Times New Roman"/>
                <w:sz w:val="24"/>
                <w:szCs w:val="24"/>
              </w:rPr>
            </w:pPr>
          </w:p>
        </w:tc>
      </w:tr>
      <w:tr w:rsidR="00151FD3" w:rsidRPr="003B0BF0" w:rsidTr="006D62BB">
        <w:trPr>
          <w:trHeight w:val="996"/>
        </w:trPr>
        <w:tc>
          <w:tcPr>
            <w:tcW w:w="1666" w:type="dxa"/>
          </w:tcPr>
          <w:p w:rsidR="00151FD3" w:rsidRPr="003B0BF0" w:rsidRDefault="00151FD3"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53" w:type="dxa"/>
          </w:tcPr>
          <w:p w:rsidR="00151FD3" w:rsidRPr="00151FD3" w:rsidRDefault="00151FD3" w:rsidP="00B94F1F">
            <w:pPr>
              <w:rPr>
                <w:rFonts w:ascii="Times New Roman" w:hAnsi="Times New Roman"/>
                <w:sz w:val="24"/>
                <w:szCs w:val="24"/>
              </w:rPr>
            </w:pPr>
            <w:r w:rsidRPr="00151FD3">
              <w:rPr>
                <w:rFonts w:ascii="Times New Roman" w:hAnsi="Times New Roman"/>
                <w:sz w:val="24"/>
                <w:szCs w:val="24"/>
              </w:rPr>
              <w:t>Стоимость одного норма/часа</w:t>
            </w:r>
          </w:p>
        </w:tc>
        <w:tc>
          <w:tcPr>
            <w:tcW w:w="2510" w:type="dxa"/>
          </w:tcPr>
          <w:p w:rsidR="00151FD3" w:rsidRDefault="00151FD3"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30%</w:t>
            </w:r>
          </w:p>
        </w:tc>
        <w:tc>
          <w:tcPr>
            <w:tcW w:w="3325" w:type="dxa"/>
          </w:tcPr>
          <w:p w:rsidR="00151FD3" w:rsidRPr="00B94F1F" w:rsidRDefault="00151FD3" w:rsidP="00B94F1F">
            <w:pPr>
              <w:tabs>
                <w:tab w:val="left" w:pos="1035"/>
              </w:tabs>
              <w:jc w:val="center"/>
              <w:rPr>
                <w:rFonts w:ascii="Times New Roman" w:hAnsi="Times New Roman"/>
                <w:sz w:val="24"/>
                <w:szCs w:val="24"/>
              </w:rPr>
            </w:pPr>
          </w:p>
        </w:tc>
      </w:tr>
      <w:tr w:rsidR="00151FD3" w:rsidRPr="003B0BF0" w:rsidTr="006D62BB">
        <w:trPr>
          <w:trHeight w:val="996"/>
        </w:trPr>
        <w:tc>
          <w:tcPr>
            <w:tcW w:w="1666" w:type="dxa"/>
          </w:tcPr>
          <w:p w:rsidR="00151FD3" w:rsidRPr="003B0BF0" w:rsidRDefault="00151FD3"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53" w:type="dxa"/>
          </w:tcPr>
          <w:p w:rsidR="00151FD3" w:rsidRPr="00151FD3" w:rsidRDefault="00151FD3" w:rsidP="00B94F1F">
            <w:pPr>
              <w:rPr>
                <w:rFonts w:ascii="Times New Roman" w:hAnsi="Times New Roman"/>
                <w:sz w:val="24"/>
                <w:szCs w:val="24"/>
              </w:rPr>
            </w:pPr>
            <w:r w:rsidRPr="00151FD3">
              <w:rPr>
                <w:rFonts w:ascii="Times New Roman" w:hAnsi="Times New Roman"/>
                <w:sz w:val="24"/>
                <w:szCs w:val="24"/>
              </w:rPr>
              <w:t>Готовность работать по условиям договора</w:t>
            </w:r>
          </w:p>
        </w:tc>
        <w:tc>
          <w:tcPr>
            <w:tcW w:w="2510" w:type="dxa"/>
          </w:tcPr>
          <w:p w:rsidR="00151FD3" w:rsidRDefault="00151FD3"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10%</w:t>
            </w:r>
          </w:p>
        </w:tc>
        <w:tc>
          <w:tcPr>
            <w:tcW w:w="3325" w:type="dxa"/>
          </w:tcPr>
          <w:p w:rsidR="00151FD3" w:rsidRPr="00B94F1F" w:rsidRDefault="00151FD3" w:rsidP="00B94F1F">
            <w:pPr>
              <w:tabs>
                <w:tab w:val="left" w:pos="1035"/>
              </w:tabs>
              <w:jc w:val="center"/>
              <w:rPr>
                <w:rFonts w:ascii="Times New Roman" w:hAnsi="Times New Roman"/>
                <w:sz w:val="24"/>
                <w:szCs w:val="24"/>
              </w:rPr>
            </w:pPr>
          </w:p>
        </w:tc>
      </w:tr>
      <w:tr w:rsidR="00151FD3" w:rsidRPr="003B0BF0" w:rsidTr="006D62BB">
        <w:trPr>
          <w:trHeight w:val="996"/>
        </w:trPr>
        <w:tc>
          <w:tcPr>
            <w:tcW w:w="1666" w:type="dxa"/>
          </w:tcPr>
          <w:p w:rsidR="00151FD3" w:rsidRPr="003B0BF0" w:rsidRDefault="00151FD3"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53" w:type="dxa"/>
          </w:tcPr>
          <w:p w:rsidR="00151FD3" w:rsidRPr="00151FD3" w:rsidRDefault="00151FD3" w:rsidP="00B94F1F">
            <w:pPr>
              <w:rPr>
                <w:rFonts w:ascii="Times New Roman" w:hAnsi="Times New Roman"/>
                <w:sz w:val="24"/>
                <w:szCs w:val="24"/>
              </w:rPr>
            </w:pPr>
            <w:r>
              <w:rPr>
                <w:rFonts w:ascii="Times New Roman" w:hAnsi="Times New Roman"/>
                <w:sz w:val="24"/>
                <w:szCs w:val="24"/>
              </w:rPr>
              <w:t>В</w:t>
            </w:r>
            <w:r w:rsidRPr="00151FD3">
              <w:rPr>
                <w:rFonts w:ascii="Times New Roman" w:hAnsi="Times New Roman"/>
                <w:sz w:val="24"/>
                <w:szCs w:val="24"/>
              </w:rPr>
              <w:t>ысокая квалификация команды</w:t>
            </w:r>
          </w:p>
        </w:tc>
        <w:tc>
          <w:tcPr>
            <w:tcW w:w="2510" w:type="dxa"/>
          </w:tcPr>
          <w:p w:rsidR="00151FD3" w:rsidRDefault="00151FD3"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10%</w:t>
            </w:r>
          </w:p>
        </w:tc>
        <w:tc>
          <w:tcPr>
            <w:tcW w:w="3325" w:type="dxa"/>
          </w:tcPr>
          <w:p w:rsidR="00151FD3" w:rsidRPr="00B94F1F" w:rsidRDefault="00151FD3" w:rsidP="00B94F1F">
            <w:pPr>
              <w:tabs>
                <w:tab w:val="left" w:pos="1035"/>
              </w:tabs>
              <w:jc w:val="center"/>
              <w:rPr>
                <w:rFonts w:ascii="Times New Roman" w:hAnsi="Times New Roman"/>
                <w:sz w:val="24"/>
                <w:szCs w:val="24"/>
              </w:rPr>
            </w:pPr>
          </w:p>
        </w:tc>
      </w:tr>
    </w:tbl>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BF3744" w:rsidRPr="003B0BF0" w:rsidRDefault="003B0BF0" w:rsidP="003B0BF0">
      <w:pPr>
        <w:pStyle w:val="af1"/>
        <w:numPr>
          <w:ilvl w:val="1"/>
          <w:numId w:val="19"/>
        </w:numPr>
        <w:overflowPunct w:val="0"/>
        <w:autoSpaceDE w:val="0"/>
        <w:autoSpaceDN w:val="0"/>
        <w:adjustRightInd w:val="0"/>
        <w:spacing w:before="120" w:after="120"/>
        <w:contextualSpacing w:val="0"/>
        <w:jc w:val="both"/>
        <w:rPr>
          <w:rFonts w:ascii="Times New Roman" w:hAnsi="Times New Roman"/>
          <w:sz w:val="24"/>
          <w:szCs w:val="24"/>
        </w:rPr>
      </w:pPr>
      <w:r w:rsidRPr="003B0BF0">
        <w:rPr>
          <w:rFonts w:ascii="Times New Roman" w:hAnsi="Times New Roman"/>
          <w:sz w:val="24"/>
          <w:szCs w:val="24"/>
        </w:rPr>
        <w:t xml:space="preserve">При возникновении вопросов необходимо адресовать их на </w:t>
      </w:r>
      <w:proofErr w:type="spellStart"/>
      <w:r w:rsidRPr="003B0BF0">
        <w:rPr>
          <w:rFonts w:ascii="Times New Roman" w:hAnsi="Times New Roman"/>
          <w:sz w:val="24"/>
          <w:szCs w:val="24"/>
        </w:rPr>
        <w:t>эл.почту</w:t>
      </w:r>
      <w:proofErr w:type="spellEnd"/>
      <w:r w:rsidRPr="003B0BF0">
        <w:rPr>
          <w:rFonts w:ascii="Times New Roman" w:hAnsi="Times New Roman"/>
          <w:sz w:val="24"/>
          <w:szCs w:val="24"/>
        </w:rPr>
        <w:t xml:space="preserve"> tender@kaplife.ru.</w:t>
      </w: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необходимые для оценки параметров, указанных в настоящем Извещении;</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Полное наименование компании, организационно-правовая форма, место и дата регистрации, юридический и почтовый адрес, полные банковские реквизиты, приказ о назначении Генерального директора, копия паспорта Генерального директора, контактные телефоны, адрес электронной почты, заявление участника либо Генерального директора о согласии на обработку персональных данных;</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соответствии требованиям, предъявляемым к участникам тендера;</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Краткое представление о компании, включающее в себя описание основных направлений деятельности и инфраструктуры компании;</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наличии лицензий, необходимых для выполнения работ;</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Предоставление сведений о наличии в штате Общества работников, аффилированных компаний;</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Указание следующих фактов:</w:t>
      </w:r>
    </w:p>
    <w:p w:rsidR="00BF3744"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является ли участник представителем (агентом) другой компании в данном конкурсе;</w:t>
      </w:r>
    </w:p>
    <w:p w:rsidR="00726F7E"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p>
    <w:p w:rsidR="00BF3744" w:rsidRPr="003B0BF0"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lastRenderedPageBreak/>
        <w:t>Прочие условия</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Срок действия услови</w:t>
      </w:r>
      <w:r w:rsidR="00403F99" w:rsidRPr="003B0BF0">
        <w:rPr>
          <w:rFonts w:ascii="Times New Roman" w:hAnsi="Times New Roman"/>
          <w:sz w:val="24"/>
          <w:szCs w:val="24"/>
        </w:rPr>
        <w:t>й</w:t>
      </w:r>
      <w:r w:rsidRPr="003B0BF0">
        <w:rPr>
          <w:rFonts w:ascii="Times New Roman" w:hAnsi="Times New Roman"/>
          <w:sz w:val="24"/>
          <w:szCs w:val="24"/>
        </w:rPr>
        <w:t xml:space="preserve"> коммерческ</w:t>
      </w:r>
      <w:r w:rsidR="00403F99" w:rsidRPr="003B0BF0">
        <w:rPr>
          <w:rFonts w:ascii="Times New Roman" w:hAnsi="Times New Roman"/>
          <w:sz w:val="24"/>
          <w:szCs w:val="24"/>
        </w:rPr>
        <w:t>ого</w:t>
      </w:r>
      <w:r w:rsidRPr="003B0BF0">
        <w:rPr>
          <w:rFonts w:ascii="Times New Roman" w:hAnsi="Times New Roman"/>
          <w:sz w:val="24"/>
          <w:szCs w:val="24"/>
        </w:rPr>
        <w:t xml:space="preserve"> предложени</w:t>
      </w:r>
      <w:r w:rsidR="00403F99" w:rsidRPr="003B0BF0">
        <w:rPr>
          <w:rFonts w:ascii="Times New Roman" w:hAnsi="Times New Roman"/>
          <w:sz w:val="24"/>
          <w:szCs w:val="24"/>
        </w:rPr>
        <w:t>я</w:t>
      </w:r>
      <w:r w:rsidRPr="003B0BF0">
        <w:rPr>
          <w:rFonts w:ascii="Times New Roman" w:hAnsi="Times New Roman"/>
          <w:sz w:val="24"/>
          <w:szCs w:val="24"/>
        </w:rPr>
        <w:t xml:space="preserve"> </w:t>
      </w:r>
      <w:r w:rsidR="00403F99" w:rsidRPr="003B0BF0">
        <w:rPr>
          <w:rFonts w:ascii="Times New Roman" w:hAnsi="Times New Roman"/>
          <w:sz w:val="24"/>
          <w:szCs w:val="24"/>
        </w:rPr>
        <w:t>- до</w:t>
      </w:r>
      <w:r w:rsidRPr="003B0BF0">
        <w:rPr>
          <w:rFonts w:ascii="Times New Roman" w:hAnsi="Times New Roman"/>
          <w:sz w:val="24"/>
          <w:szCs w:val="24"/>
        </w:rPr>
        <w:t xml:space="preserve"> заключения договора</w:t>
      </w:r>
      <w:r w:rsidR="00403F99" w:rsidRPr="003B0BF0">
        <w:rPr>
          <w:rFonts w:ascii="Times New Roman" w:hAnsi="Times New Roman"/>
          <w:sz w:val="24"/>
          <w:szCs w:val="24"/>
        </w:rPr>
        <w:t>.</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Запрос предложений не является конкурсом или аукционом в смысле, предусмотренном Гражданским кодексом Российской Федерации. Проведение этой процедуры не регулируется статьями 447 – 449 части первой Гражданского кодекса Российской Федерации, и не регулируется статьями 1057 – 1061 части второй Гражданского кодекса Российской Федерации. Таким образом, данная процедура запроса предложений не накладывает на Общество гражданско-правовых обязательств, предусмотренных данными статьями.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4F6FB6" w:rsidRPr="00FA249E" w:rsidRDefault="00BF3744" w:rsidP="004F6FB6">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6D62BB" w:rsidRDefault="00403F99" w:rsidP="00403F99">
      <w:pPr>
        <w:overflowPunct w:val="0"/>
        <w:autoSpaceDE w:val="0"/>
        <w:autoSpaceDN w:val="0"/>
        <w:adjustRightInd w:val="0"/>
        <w:jc w:val="both"/>
        <w:rPr>
          <w:rFonts w:ascii="Times New Roman" w:hAnsi="Times New Roman"/>
          <w:sz w:val="24"/>
          <w:szCs w:val="24"/>
        </w:rPr>
      </w:pPr>
      <w:r w:rsidRPr="003B0BF0">
        <w:rPr>
          <w:rFonts w:ascii="Times New Roman" w:hAnsi="Times New Roman"/>
          <w:sz w:val="24"/>
          <w:szCs w:val="24"/>
        </w:rPr>
        <w:t xml:space="preserve">Приложение № 1 </w:t>
      </w:r>
      <w:r w:rsidR="006D62BB">
        <w:rPr>
          <w:rFonts w:ascii="Times New Roman" w:hAnsi="Times New Roman"/>
          <w:sz w:val="24"/>
          <w:szCs w:val="24"/>
        </w:rPr>
        <w:t>–</w:t>
      </w:r>
      <w:r w:rsidR="001D1795">
        <w:rPr>
          <w:rFonts w:ascii="Times New Roman" w:hAnsi="Times New Roman"/>
          <w:sz w:val="24"/>
          <w:szCs w:val="24"/>
        </w:rPr>
        <w:t xml:space="preserve"> </w:t>
      </w:r>
      <w:r w:rsidR="00501868" w:rsidRPr="00501868">
        <w:rPr>
          <w:rFonts w:ascii="Times New Roman" w:hAnsi="Times New Roman"/>
          <w:sz w:val="24"/>
          <w:szCs w:val="24"/>
        </w:rPr>
        <w:t>Требования и объём работ</w:t>
      </w:r>
    </w:p>
    <w:p w:rsidR="006D62BB" w:rsidRDefault="006D62BB" w:rsidP="00403F99">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Приложение № 2 – </w:t>
      </w:r>
      <w:r w:rsidR="00501868">
        <w:rPr>
          <w:rFonts w:ascii="Times New Roman" w:hAnsi="Times New Roman"/>
          <w:sz w:val="24"/>
          <w:szCs w:val="24"/>
        </w:rPr>
        <w:t>Проект договора</w:t>
      </w:r>
    </w:p>
    <w:p w:rsidR="00BF3744" w:rsidRPr="003B0BF0" w:rsidRDefault="00BF3744" w:rsidP="00BF3744">
      <w:pPr>
        <w:jc w:val="both"/>
        <w:rPr>
          <w:rFonts w:ascii="Times New Roman" w:hAnsi="Times New Roman"/>
          <w:sz w:val="24"/>
          <w:szCs w:val="24"/>
        </w:rPr>
      </w:pPr>
      <w:bookmarkStart w:id="0" w:name="_GoBack"/>
      <w:bookmarkEnd w:id="0"/>
    </w:p>
    <w:p w:rsidR="00403F99" w:rsidRPr="003B0BF0" w:rsidRDefault="00403F99" w:rsidP="00BF3744">
      <w:pPr>
        <w:jc w:val="both"/>
        <w:rPr>
          <w:rFonts w:ascii="Times New Roman" w:hAnsi="Times New Roman"/>
          <w:sz w:val="24"/>
          <w:szCs w:val="24"/>
        </w:rPr>
      </w:pPr>
    </w:p>
    <w:p w:rsidR="00BF3744" w:rsidRPr="003B0BF0" w:rsidRDefault="00BF3744" w:rsidP="00BF3744">
      <w:pPr>
        <w:jc w:val="both"/>
        <w:rPr>
          <w:rFonts w:ascii="Times New Roman" w:hAnsi="Times New Roman"/>
          <w:sz w:val="24"/>
          <w:szCs w:val="24"/>
        </w:rPr>
      </w:pPr>
    </w:p>
    <w:p w:rsidR="003B0BF0" w:rsidRPr="003B0BF0" w:rsidRDefault="003B0BF0" w:rsidP="003B0BF0">
      <w:pPr>
        <w:spacing w:line="360" w:lineRule="auto"/>
        <w:jc w:val="both"/>
        <w:rPr>
          <w:rFonts w:ascii="Times New Roman" w:hAnsi="Times New Roman"/>
          <w:sz w:val="24"/>
          <w:szCs w:val="24"/>
        </w:rPr>
      </w:pPr>
      <w:r w:rsidRPr="003B0BF0">
        <w:rPr>
          <w:rFonts w:ascii="Times New Roman" w:hAnsi="Times New Roman"/>
          <w:b/>
          <w:sz w:val="24"/>
          <w:szCs w:val="24"/>
        </w:rPr>
        <w:t xml:space="preserve">Секретарь Тендерного </w:t>
      </w:r>
      <w:proofErr w:type="gramStart"/>
      <w:r w:rsidRPr="003B0BF0">
        <w:rPr>
          <w:rFonts w:ascii="Times New Roman" w:hAnsi="Times New Roman"/>
          <w:b/>
          <w:sz w:val="24"/>
          <w:szCs w:val="24"/>
        </w:rPr>
        <w:t xml:space="preserve">комитета:   </w:t>
      </w:r>
      <w:proofErr w:type="gramEnd"/>
      <w:r w:rsidRPr="003B0BF0">
        <w:rPr>
          <w:rFonts w:ascii="Times New Roman" w:hAnsi="Times New Roman"/>
          <w:b/>
          <w:sz w:val="24"/>
          <w:szCs w:val="24"/>
        </w:rPr>
        <w:t xml:space="preserve">                 ЭЦП                                   </w:t>
      </w:r>
      <w:r w:rsidR="00CA5444">
        <w:rPr>
          <w:rFonts w:ascii="Times New Roman" w:hAnsi="Times New Roman"/>
          <w:b/>
          <w:sz w:val="24"/>
          <w:szCs w:val="24"/>
        </w:rPr>
        <w:t>Ю.В. Мягкова</w:t>
      </w:r>
    </w:p>
    <w:p w:rsidR="00D470FF" w:rsidRPr="003B0BF0" w:rsidRDefault="00D470FF" w:rsidP="00BF3744">
      <w:pPr>
        <w:jc w:val="both"/>
        <w:rPr>
          <w:rFonts w:ascii="Times New Roman" w:hAnsi="Times New Roman"/>
          <w:sz w:val="24"/>
          <w:szCs w:val="24"/>
        </w:rPr>
      </w:pPr>
    </w:p>
    <w:p w:rsidR="001051E0" w:rsidRPr="003B0BF0" w:rsidRDefault="001051E0" w:rsidP="00417502">
      <w:pPr>
        <w:rPr>
          <w:rFonts w:ascii="Times New Roman" w:hAnsi="Times New Roman"/>
          <w:sz w:val="24"/>
          <w:szCs w:val="24"/>
        </w:rPr>
      </w:pPr>
    </w:p>
    <w:p w:rsidR="001333D8" w:rsidRPr="003B0BF0" w:rsidRDefault="001333D8" w:rsidP="001333D8">
      <w:pPr>
        <w:rPr>
          <w:rFonts w:ascii="Times New Roman" w:hAnsi="Times New Roman"/>
          <w:sz w:val="24"/>
          <w:szCs w:val="24"/>
        </w:rPr>
      </w:pPr>
    </w:p>
    <w:sectPr w:rsidR="001333D8" w:rsidRPr="003B0BF0" w:rsidSect="00E0034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D6" w:rsidRPr="005D4F76" w:rsidRDefault="002F4FD6" w:rsidP="005D4F76">
      <w:r>
        <w:separator/>
      </w:r>
    </w:p>
  </w:endnote>
  <w:endnote w:type="continuationSeparator" w:id="0">
    <w:p w:rsidR="002F4FD6" w:rsidRPr="005D4F76" w:rsidRDefault="002F4FD6"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Исполнитель:</w:t>
    </w:r>
    <w:r w:rsidR="00CA5444">
      <w:t xml:space="preserve"> Мягкова Ю.В.</w:t>
    </w:r>
  </w:p>
  <w:p w:rsidR="002E786C" w:rsidRPr="00EC31D0" w:rsidRDefault="002E786C" w:rsidP="002E786C">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2E786C" w:rsidRPr="002E786C" w:rsidRDefault="002E786C" w:rsidP="002E786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D6" w:rsidRPr="005D4F76" w:rsidRDefault="002F4FD6" w:rsidP="005D4F76">
      <w:r>
        <w:separator/>
      </w:r>
    </w:p>
  </w:footnote>
  <w:footnote w:type="continuationSeparator" w:id="0">
    <w:p w:rsidR="002F4FD6" w:rsidRPr="005D4F76" w:rsidRDefault="002F4FD6"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444" w:rsidRDefault="00CA54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914"/>
      <w:gridCol w:w="4724"/>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52B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01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2CC0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FCD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6D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2" w15:restartNumberingAfterBreak="0">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380C8E"/>
    <w:multiLevelType w:val="hybridMultilevel"/>
    <w:tmpl w:val="05084026"/>
    <w:lvl w:ilvl="0" w:tplc="0419000F">
      <w:start w:val="1"/>
      <w:numFmt w:val="decimal"/>
      <w:lvlText w:val="%1."/>
      <w:lvlJc w:val="left"/>
      <w:pPr>
        <w:ind w:left="720" w:hanging="360"/>
      </w:p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6" w15:restartNumberingAfterBreak="0">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7" w15:restartNumberingAfterBreak="0">
    <w:nsid w:val="54AD44D4"/>
    <w:multiLevelType w:val="multilevel"/>
    <w:tmpl w:val="54046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8"/>
  </w:num>
  <w:num w:numId="18">
    <w:abstractNumId w:val="14"/>
  </w:num>
  <w:num w:numId="19">
    <w:abstractNumId w:val="17"/>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FF"/>
    <w:rsid w:val="0000676D"/>
    <w:rsid w:val="000B376C"/>
    <w:rsid w:val="000F4C20"/>
    <w:rsid w:val="001036E1"/>
    <w:rsid w:val="001051E0"/>
    <w:rsid w:val="00112805"/>
    <w:rsid w:val="0011364A"/>
    <w:rsid w:val="001333D8"/>
    <w:rsid w:val="001407E0"/>
    <w:rsid w:val="00151FD3"/>
    <w:rsid w:val="00162FFE"/>
    <w:rsid w:val="001D1795"/>
    <w:rsid w:val="001E232F"/>
    <w:rsid w:val="00211C63"/>
    <w:rsid w:val="00260D40"/>
    <w:rsid w:val="00262BB2"/>
    <w:rsid w:val="002678CD"/>
    <w:rsid w:val="00295126"/>
    <w:rsid w:val="002972C1"/>
    <w:rsid w:val="0029748D"/>
    <w:rsid w:val="002E7387"/>
    <w:rsid w:val="002E786C"/>
    <w:rsid w:val="002F4FD6"/>
    <w:rsid w:val="00305B31"/>
    <w:rsid w:val="00315990"/>
    <w:rsid w:val="00341A9D"/>
    <w:rsid w:val="00355BA7"/>
    <w:rsid w:val="0037391E"/>
    <w:rsid w:val="0038295E"/>
    <w:rsid w:val="00397E99"/>
    <w:rsid w:val="003B0BF0"/>
    <w:rsid w:val="00403F99"/>
    <w:rsid w:val="00411F64"/>
    <w:rsid w:val="00417502"/>
    <w:rsid w:val="00440007"/>
    <w:rsid w:val="00457ED4"/>
    <w:rsid w:val="00476673"/>
    <w:rsid w:val="004E6813"/>
    <w:rsid w:val="004F2B63"/>
    <w:rsid w:val="004F6ECB"/>
    <w:rsid w:val="004F6FB6"/>
    <w:rsid w:val="00501868"/>
    <w:rsid w:val="005617B4"/>
    <w:rsid w:val="00584147"/>
    <w:rsid w:val="005D4F76"/>
    <w:rsid w:val="006622A1"/>
    <w:rsid w:val="006774AB"/>
    <w:rsid w:val="00694F31"/>
    <w:rsid w:val="0069505E"/>
    <w:rsid w:val="00697A1E"/>
    <w:rsid w:val="006A0EFB"/>
    <w:rsid w:val="006A25F1"/>
    <w:rsid w:val="006D62BB"/>
    <w:rsid w:val="006E09EF"/>
    <w:rsid w:val="00726F7E"/>
    <w:rsid w:val="00751F90"/>
    <w:rsid w:val="0076468E"/>
    <w:rsid w:val="007A60F4"/>
    <w:rsid w:val="0088717E"/>
    <w:rsid w:val="008D35A4"/>
    <w:rsid w:val="008D6990"/>
    <w:rsid w:val="009008BD"/>
    <w:rsid w:val="00966192"/>
    <w:rsid w:val="009900B1"/>
    <w:rsid w:val="009A44A1"/>
    <w:rsid w:val="009B12A3"/>
    <w:rsid w:val="009B1D78"/>
    <w:rsid w:val="009B696B"/>
    <w:rsid w:val="009D2CE0"/>
    <w:rsid w:val="00A267A5"/>
    <w:rsid w:val="00A325C3"/>
    <w:rsid w:val="00A82A4F"/>
    <w:rsid w:val="00AA3928"/>
    <w:rsid w:val="00AA7EE4"/>
    <w:rsid w:val="00B066BC"/>
    <w:rsid w:val="00B2064F"/>
    <w:rsid w:val="00B21E6D"/>
    <w:rsid w:val="00B37AC3"/>
    <w:rsid w:val="00B46CEC"/>
    <w:rsid w:val="00B77C35"/>
    <w:rsid w:val="00B94A79"/>
    <w:rsid w:val="00B94F1F"/>
    <w:rsid w:val="00BB7834"/>
    <w:rsid w:val="00BD36C8"/>
    <w:rsid w:val="00BE0D6A"/>
    <w:rsid w:val="00BE54D8"/>
    <w:rsid w:val="00BF2E41"/>
    <w:rsid w:val="00BF3744"/>
    <w:rsid w:val="00C15426"/>
    <w:rsid w:val="00C66438"/>
    <w:rsid w:val="00C7574F"/>
    <w:rsid w:val="00CA33FD"/>
    <w:rsid w:val="00CA5444"/>
    <w:rsid w:val="00CD0D2E"/>
    <w:rsid w:val="00D1120F"/>
    <w:rsid w:val="00D11DB5"/>
    <w:rsid w:val="00D25EC2"/>
    <w:rsid w:val="00D470FF"/>
    <w:rsid w:val="00D61112"/>
    <w:rsid w:val="00D75994"/>
    <w:rsid w:val="00D86049"/>
    <w:rsid w:val="00DC0A3E"/>
    <w:rsid w:val="00DD4BEF"/>
    <w:rsid w:val="00DE7DF8"/>
    <w:rsid w:val="00E00343"/>
    <w:rsid w:val="00E44A2B"/>
    <w:rsid w:val="00E44D7E"/>
    <w:rsid w:val="00E51D0A"/>
    <w:rsid w:val="00E53391"/>
    <w:rsid w:val="00E63BF9"/>
    <w:rsid w:val="00E83B49"/>
    <w:rsid w:val="00E92473"/>
    <w:rsid w:val="00EC31D0"/>
    <w:rsid w:val="00F06228"/>
    <w:rsid w:val="00F24830"/>
    <w:rsid w:val="00FA249E"/>
    <w:rsid w:val="00FA64EF"/>
    <w:rsid w:val="00FD1994"/>
    <w:rsid w:val="00FF12A0"/>
    <w:rsid w:val="00FF2737"/>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Borders>
        <w:top w:val="single" w:sz="6" w:space="0" w:color="BF0013"/>
        <w:left w:val="none" w:sz="0" w:space="0" w:color="auto"/>
        <w:bottom w:val="single" w:sz="6" w:space="0" w:color="BF0013"/>
        <w:right w:val="none" w:sz="0" w:space="0" w:color="auto"/>
        <w:insideH w:val="single" w:sz="6" w:space="0" w:color="BF0013"/>
        <w:insideV w:val="single" w:sz="6" w:space="0" w:color="BF0013"/>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Borders>
        <w:top w:val="single" w:sz="8" w:space="0" w:color="FF4F60" w:themeColor="accent3"/>
        <w:bottom w:val="single" w:sz="8" w:space="0" w:color="FF4F60" w:themeColor="accent3"/>
      </w:tblBorders>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Borders>
        <w:top w:val="single" w:sz="8" w:space="0" w:color="A2000F" w:themeColor="accent2"/>
        <w:bottom w:val="single" w:sz="8" w:space="0" w:color="A2000F" w:themeColor="accent2"/>
      </w:tblBorders>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Borders>
        <w:top w:val="single" w:sz="8" w:space="0" w:color="74000B" w:themeColor="accent4"/>
        <w:bottom w:val="single" w:sz="8" w:space="0" w:color="74000B" w:themeColor="accent4"/>
      </w:tblBorders>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Borders>
        <w:top w:val="single" w:sz="8" w:space="0" w:color="3F3F3F" w:themeColor="text1"/>
        <w:left w:val="single" w:sz="8" w:space="0" w:color="3F3F3F" w:themeColor="text1"/>
        <w:bottom w:val="single" w:sz="8" w:space="0" w:color="3F3F3F" w:themeColor="text1"/>
        <w:right w:val="single" w:sz="8" w:space="0" w:color="3F3F3F" w:themeColor="text1"/>
      </w:tblBorders>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Borders>
        <w:top w:val="single" w:sz="8" w:space="0" w:color="3F3F3F" w:themeColor="text1"/>
        <w:bottom w:val="single" w:sz="8" w:space="0" w:color="3F3F3F" w:themeColor="text1"/>
      </w:tblBorders>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Borders>
        <w:top w:val="single" w:sz="8" w:space="0" w:color="BF0013"/>
        <w:bottom w:val="single" w:sz="8" w:space="0" w:color="BF0013"/>
        <w:insideH w:val="single" w:sz="8" w:space="0" w:color="BF0013"/>
        <w:insideV w:val="single" w:sz="4" w:space="0" w:color="BF0013"/>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 w:id="16822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FE3448-D684-4533-A842-360AA198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63</TotalTime>
  <Pages>3</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 О. Фамилия</dc:creator>
  <cp:lastModifiedBy>Мягкова Юлия Владимировна</cp:lastModifiedBy>
  <cp:revision>8</cp:revision>
  <cp:lastPrinted>2019-01-30T09:36:00Z</cp:lastPrinted>
  <dcterms:created xsi:type="dcterms:W3CDTF">2023-09-07T07:08:00Z</dcterms:created>
  <dcterms:modified xsi:type="dcterms:W3CDTF">2023-11-21T12:36:00Z</dcterms:modified>
</cp:coreProperties>
</file>